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Pr="00522E4F" w:rsidRDefault="004B3EB4" w:rsidP="004B3EB4">
      <w:pPr>
        <w:jc w:val="center"/>
        <w:rPr>
          <w:rFonts w:ascii="Times New Roman" w:hAnsi="Times New Roman"/>
          <w:sz w:val="24"/>
          <w:szCs w:val="22"/>
        </w:rPr>
      </w:pPr>
      <w:bookmarkStart w:id="0" w:name="_Toc360188413"/>
      <w:bookmarkStart w:id="1" w:name="_Toc473561053"/>
      <w:bookmarkStart w:id="2" w:name="_Toc117766050"/>
      <w:r w:rsidRPr="00522E4F">
        <w:rPr>
          <w:rFonts w:ascii="Times New Roman" w:hAnsi="Times New Roman"/>
          <w:sz w:val="24"/>
        </w:rPr>
        <w:t>SK</w:t>
      </w:r>
    </w:p>
    <w:p w14:paraId="673AA6A5" w14:textId="77777777" w:rsidR="004B3EB4" w:rsidRPr="00522E4F" w:rsidRDefault="004B3EB4" w:rsidP="004B3EB4">
      <w:pPr>
        <w:rPr>
          <w:rFonts w:asciiTheme="minorHAnsi" w:hAnsiTheme="minorHAnsi"/>
          <w:sz w:val="22"/>
        </w:rPr>
      </w:pPr>
    </w:p>
    <w:p w14:paraId="714F1821" w14:textId="77777777" w:rsidR="009A273F" w:rsidRPr="00522E4F" w:rsidRDefault="009A273F" w:rsidP="009A273F">
      <w:pPr>
        <w:jc w:val="center"/>
        <w:rPr>
          <w:rFonts w:ascii="Times New Roman" w:hAnsi="Times New Roman"/>
          <w:sz w:val="24"/>
        </w:rPr>
      </w:pPr>
      <w:r w:rsidRPr="00522E4F">
        <w:rPr>
          <w:rFonts w:ascii="Times New Roman" w:hAnsi="Times New Roman"/>
          <w:sz w:val="24"/>
        </w:rPr>
        <w:t>PRÍLOHA II</w:t>
      </w:r>
    </w:p>
    <w:p w14:paraId="025DAC25" w14:textId="77777777" w:rsidR="009A273F" w:rsidRPr="00522E4F" w:rsidRDefault="009A273F" w:rsidP="009A273F">
      <w:pPr>
        <w:jc w:val="center"/>
        <w:rPr>
          <w:rFonts w:ascii="Times New Roman" w:hAnsi="Times New Roman"/>
          <w:sz w:val="24"/>
        </w:rPr>
      </w:pPr>
      <w:r w:rsidRPr="00522E4F">
        <w:rPr>
          <w:rFonts w:ascii="Times New Roman" w:hAnsi="Times New Roman"/>
          <w:sz w:val="24"/>
        </w:rPr>
        <w:t>„PRÍLOHA II</w:t>
      </w:r>
    </w:p>
    <w:p w14:paraId="5EA1A82F" w14:textId="77777777" w:rsidR="009A273F" w:rsidRPr="00522E4F" w:rsidRDefault="009A273F" w:rsidP="009A273F">
      <w:pPr>
        <w:jc w:val="center"/>
        <w:rPr>
          <w:rFonts w:ascii="Times New Roman" w:hAnsi="Times New Roman"/>
          <w:b/>
          <w:sz w:val="24"/>
        </w:rPr>
      </w:pPr>
      <w:r w:rsidRPr="00522E4F">
        <w:rPr>
          <w:rFonts w:ascii="Times New Roman" w:hAnsi="Times New Roman"/>
          <w:b/>
          <w:sz w:val="24"/>
        </w:rPr>
        <w:t>POKYNY NA VYKAZOVANIE VLASTNÝCH ZDROJOV A POŽIADAVIEK NA VLASTNÉ ZDROJE</w:t>
      </w:r>
    </w:p>
    <w:p w14:paraId="7ABDFB60" w14:textId="77777777" w:rsidR="009A273F" w:rsidRPr="00522E4F" w:rsidRDefault="009A273F" w:rsidP="009A273F"/>
    <w:p w14:paraId="65617CB9" w14:textId="77777777" w:rsidR="009A273F" w:rsidRPr="00522E4F" w:rsidRDefault="009A273F" w:rsidP="009A273F">
      <w:pPr>
        <w:spacing w:before="0" w:after="0"/>
        <w:jc w:val="left"/>
        <w:rPr>
          <w:rStyle w:val="InstructionsTabelleText"/>
          <w:rFonts w:ascii="Times New Roman" w:hAnsi="Times New Roman"/>
          <w:b/>
          <w:bCs/>
          <w:sz w:val="24"/>
          <w:u w:val="single"/>
        </w:rPr>
      </w:pPr>
      <w:r w:rsidRPr="00522E4F">
        <w:rPr>
          <w:rStyle w:val="InstructionsTabelleText"/>
          <w:rFonts w:ascii="Times New Roman" w:hAnsi="Times New Roman"/>
          <w:b/>
          <w:sz w:val="24"/>
          <w:u w:val="single"/>
        </w:rPr>
        <w:t>ČASŤ II: POKYNY TÝKAJÚCE SA VZOROV</w:t>
      </w:r>
    </w:p>
    <w:p w14:paraId="06F52853" w14:textId="77777777" w:rsidR="00522E4F" w:rsidRDefault="00522E4F" w:rsidP="009A273F">
      <w:pPr>
        <w:spacing w:before="0" w:after="0"/>
        <w:jc w:val="left"/>
        <w:rPr>
          <w:rStyle w:val="InstructionsTabelleText"/>
          <w:rFonts w:ascii="Times New Roman" w:hAnsi="Times New Roman"/>
          <w:sz w:val="24"/>
        </w:rPr>
      </w:pPr>
    </w:p>
    <w:p w14:paraId="49367E83" w14:textId="77777777" w:rsidR="009A273F" w:rsidRPr="00522E4F" w:rsidRDefault="009A273F" w:rsidP="009A273F">
      <w:pPr>
        <w:spacing w:before="0" w:after="0"/>
        <w:jc w:val="left"/>
        <w:rPr>
          <w:rStyle w:val="InstructionsTabelleText"/>
          <w:rFonts w:ascii="Times New Roman" w:hAnsi="Times New Roman"/>
          <w:sz w:val="24"/>
        </w:rPr>
      </w:pPr>
      <w:r w:rsidRPr="00522E4F">
        <w:rPr>
          <w:rStyle w:val="InstructionsTabelleText"/>
          <w:rFonts w:ascii="Times New Roman" w:hAnsi="Times New Roman"/>
          <w:sz w:val="24"/>
        </w:rPr>
        <w:t>(…)</w:t>
      </w:r>
    </w:p>
    <w:p w14:paraId="07BCB996" w14:textId="77777777" w:rsidR="009A273F" w:rsidRPr="00522E4F" w:rsidRDefault="009A273F" w:rsidP="009A273F">
      <w:pPr>
        <w:spacing w:before="0" w:after="0"/>
        <w:jc w:val="left"/>
        <w:rPr>
          <w:rStyle w:val="InstructionsTabelleText"/>
          <w:rFonts w:ascii="Times New Roman" w:hAnsi="Times New Roman"/>
          <w:sz w:val="24"/>
        </w:rPr>
      </w:pPr>
    </w:p>
    <w:p w14:paraId="2A449DF9" w14:textId="75B5D8AF" w:rsidR="00DD5030" w:rsidRPr="00522E4F" w:rsidRDefault="00606FB5" w:rsidP="009A273F">
      <w:pPr>
        <w:spacing w:before="0" w:after="0"/>
        <w:jc w:val="left"/>
        <w:rPr>
          <w:rFonts w:ascii="Times New Roman" w:hAnsi="Times New Roman"/>
          <w:sz w:val="24"/>
        </w:rPr>
      </w:pPr>
      <w:r w:rsidRPr="00522E4F">
        <w:rPr>
          <w:rFonts w:ascii="Times New Roman" w:hAnsi="Times New Roman"/>
          <w:sz w:val="24"/>
        </w:rPr>
        <w:t>5.8.</w:t>
      </w:r>
      <w:r w:rsidRPr="00522E4F">
        <w:tab/>
      </w:r>
      <w:r w:rsidRPr="00522E4F">
        <w:rPr>
          <w:rFonts w:ascii="Times New Roman" w:hAnsi="Times New Roman"/>
          <w:sz w:val="24"/>
        </w:rPr>
        <w:t>C 25.01 – RIZIKO ÚPRAVY OCENENIA POHĽADÁVOK</w:t>
      </w:r>
      <w:bookmarkEnd w:id="0"/>
      <w:r w:rsidRPr="00522E4F">
        <w:rPr>
          <w:rFonts w:ascii="Times New Roman" w:hAnsi="Times New Roman"/>
          <w:sz w:val="24"/>
        </w:rPr>
        <w:t xml:space="preserve"> (CVA)</w:t>
      </w:r>
      <w:bookmarkEnd w:id="1"/>
      <w:bookmarkEnd w:id="2"/>
    </w:p>
    <w:p w14:paraId="33239E01" w14:textId="77777777" w:rsidR="00606FB5" w:rsidRPr="00522E4F"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sidRPr="00522E4F">
        <w:rPr>
          <w:rFonts w:ascii="Times New Roman" w:hAnsi="Times New Roman"/>
          <w:sz w:val="24"/>
          <w:u w:val="none"/>
        </w:rPr>
        <w:t>5.8.1.</w:t>
      </w:r>
      <w:r w:rsidRPr="00522E4F">
        <w:tab/>
      </w:r>
      <w:r w:rsidRPr="00522E4F">
        <w:rPr>
          <w:rFonts w:ascii="Times New Roman" w:hAnsi="Times New Roman"/>
          <w:sz w:val="24"/>
        </w:rPr>
        <w:t>Pokyny týkajúce sa konkrétnych pozícií</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00"/>
      </w:tblGrid>
      <w:tr w:rsidR="00680687" w:rsidRPr="00522E4F" w14:paraId="0110EC19" w14:textId="77777777" w:rsidTr="006A3ADC">
        <w:tc>
          <w:tcPr>
            <w:tcW w:w="9016" w:type="dxa"/>
            <w:gridSpan w:val="2"/>
            <w:shd w:val="clear" w:color="auto" w:fill="CCCCCC"/>
          </w:tcPr>
          <w:p w14:paraId="42563A8C" w14:textId="77777777" w:rsidR="00680687" w:rsidRPr="00522E4F" w:rsidRDefault="00680687" w:rsidP="006A3ADC">
            <w:pPr>
              <w:rPr>
                <w:rFonts w:ascii="Times New Roman" w:hAnsi="Times New Roman"/>
                <w:b/>
                <w:sz w:val="24"/>
              </w:rPr>
            </w:pPr>
            <w:r w:rsidRPr="00522E4F">
              <w:rPr>
                <w:rFonts w:ascii="Times New Roman" w:hAnsi="Times New Roman"/>
                <w:b/>
                <w:sz w:val="24"/>
              </w:rPr>
              <w:t>Stĺpce</w:t>
            </w:r>
          </w:p>
        </w:tc>
      </w:tr>
      <w:tr w:rsidR="00680687" w:rsidRPr="00522E4F" w14:paraId="22C86396" w14:textId="77777777" w:rsidTr="006A3ADC">
        <w:tc>
          <w:tcPr>
            <w:tcW w:w="1172" w:type="dxa"/>
          </w:tcPr>
          <w:p w14:paraId="013E2964" w14:textId="77777777" w:rsidR="00680687" w:rsidRPr="00522E4F" w:rsidRDefault="00680687" w:rsidP="006A3ADC">
            <w:pPr>
              <w:rPr>
                <w:rFonts w:ascii="Times New Roman" w:hAnsi="Times New Roman"/>
                <w:sz w:val="24"/>
              </w:rPr>
            </w:pPr>
            <w:r w:rsidRPr="00522E4F">
              <w:rPr>
                <w:rFonts w:ascii="Times New Roman" w:hAnsi="Times New Roman"/>
                <w:sz w:val="24"/>
              </w:rPr>
              <w:t>0010</w:t>
            </w:r>
          </w:p>
        </w:tc>
        <w:tc>
          <w:tcPr>
            <w:tcW w:w="7844" w:type="dxa"/>
          </w:tcPr>
          <w:p w14:paraId="48C69E8C"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Hodnota expozícií voči CCR</w:t>
            </w:r>
          </w:p>
          <w:p w14:paraId="06BD2F33" w14:textId="6F2C72C9" w:rsidR="00680687" w:rsidRPr="00522E4F" w:rsidRDefault="00680687" w:rsidP="006A3ADC">
            <w:pPr>
              <w:rPr>
                <w:rFonts w:ascii="Times New Roman" w:hAnsi="Times New Roman"/>
                <w:sz w:val="24"/>
              </w:rPr>
            </w:pPr>
            <w:r w:rsidRPr="00522E4F">
              <w:rPr>
                <w:rFonts w:ascii="Times New Roman" w:hAnsi="Times New Roman"/>
                <w:sz w:val="24"/>
              </w:rPr>
              <w:t>Hodnota expozícií voči kreditnému riziku protistrany (CCR) vypočítaná</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metódami stanovenými</w:t>
            </w:r>
            <w:r w:rsidR="00522E4F">
              <w:rPr>
                <w:rFonts w:ascii="Times New Roman" w:hAnsi="Times New Roman"/>
                <w:sz w:val="24"/>
              </w:rPr>
              <w:t xml:space="preserve"> v </w:t>
            </w:r>
            <w:r w:rsidRPr="00522E4F">
              <w:rPr>
                <w:rFonts w:ascii="Times New Roman" w:hAnsi="Times New Roman"/>
                <w:sz w:val="24"/>
              </w:rPr>
              <w:t>tretej časti hlave II kapitolách 4</w:t>
            </w:r>
            <w:r w:rsidR="00522E4F">
              <w:rPr>
                <w:rFonts w:ascii="Times New Roman" w:hAnsi="Times New Roman"/>
                <w:sz w:val="24"/>
              </w:rPr>
              <w:t xml:space="preserve"> a </w:t>
            </w:r>
            <w:r w:rsidRPr="00522E4F">
              <w:rPr>
                <w:rFonts w:ascii="Times New Roman" w:hAnsi="Times New Roman"/>
                <w:sz w:val="24"/>
              </w:rPr>
              <w:t xml:space="preserve">6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117387BA" w14:textId="77777777" w:rsidTr="006A3ADC">
        <w:tc>
          <w:tcPr>
            <w:tcW w:w="1172" w:type="dxa"/>
          </w:tcPr>
          <w:p w14:paraId="7CA143D6" w14:textId="77777777" w:rsidR="00680687" w:rsidRPr="00522E4F" w:rsidRDefault="00680687" w:rsidP="006A3ADC">
            <w:pPr>
              <w:rPr>
                <w:rFonts w:ascii="Times New Roman" w:hAnsi="Times New Roman"/>
                <w:sz w:val="24"/>
              </w:rPr>
            </w:pPr>
            <w:r w:rsidRPr="00522E4F">
              <w:rPr>
                <w:rFonts w:ascii="Times New Roman" w:hAnsi="Times New Roman"/>
                <w:sz w:val="24"/>
              </w:rPr>
              <w:t>0020</w:t>
            </w:r>
          </w:p>
        </w:tc>
        <w:tc>
          <w:tcPr>
            <w:tcW w:w="7844" w:type="dxa"/>
          </w:tcPr>
          <w:p w14:paraId="51B45A7C"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Požiadavky na vlastné zdroje pre CCR</w:t>
            </w:r>
          </w:p>
          <w:p w14:paraId="0F0016B3" w14:textId="062D1B1E" w:rsidR="00680687" w:rsidRPr="00522E4F" w:rsidRDefault="00680687" w:rsidP="006A3ADC">
            <w:pPr>
              <w:rPr>
                <w:rFonts w:ascii="Times New Roman" w:hAnsi="Times New Roman"/>
                <w:sz w:val="24"/>
              </w:rPr>
            </w:pPr>
            <w:r w:rsidRPr="00522E4F">
              <w:rPr>
                <w:rFonts w:ascii="Times New Roman" w:hAnsi="Times New Roman"/>
                <w:sz w:val="24"/>
              </w:rPr>
              <w:t>Požiadavky na vlastné zdroje pre CCR [článok 92 ods. 4 písm. a)</w:t>
            </w:r>
            <w:r w:rsidR="00522E4F">
              <w:rPr>
                <w:rFonts w:ascii="Times New Roman" w:hAnsi="Times New Roman"/>
                <w:sz w:val="24"/>
              </w:rPr>
              <w:t xml:space="preserve"> a </w:t>
            </w:r>
            <w:r w:rsidRPr="00522E4F">
              <w:rPr>
                <w:rFonts w:ascii="Times New Roman" w:hAnsi="Times New Roman"/>
                <w:sz w:val="24"/>
              </w:rPr>
              <w:t>g)</w:t>
            </w:r>
            <w:r w:rsidR="00522E4F">
              <w:rPr>
                <w:rFonts w:ascii="Times New Roman" w:hAnsi="Times New Roman"/>
                <w:sz w:val="24"/>
              </w:rPr>
              <w:t xml:space="preserve"> a </w:t>
            </w:r>
            <w:r w:rsidRPr="00522E4F">
              <w:rPr>
                <w:rFonts w:ascii="Times New Roman" w:hAnsi="Times New Roman"/>
                <w:sz w:val="24"/>
              </w:rPr>
              <w:t xml:space="preserve">tretia časť hlava VI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5F978FE1" w14:textId="77777777" w:rsidTr="006A3ADC">
        <w:tc>
          <w:tcPr>
            <w:tcW w:w="1172" w:type="dxa"/>
          </w:tcPr>
          <w:p w14:paraId="182AB4FA" w14:textId="77777777" w:rsidR="00680687" w:rsidRPr="00522E4F" w:rsidRDefault="00680687" w:rsidP="006A3ADC">
            <w:pPr>
              <w:rPr>
                <w:rFonts w:ascii="Times New Roman" w:hAnsi="Times New Roman"/>
                <w:sz w:val="24"/>
              </w:rPr>
            </w:pPr>
            <w:r w:rsidRPr="00522E4F">
              <w:rPr>
                <w:rFonts w:ascii="Times New Roman" w:hAnsi="Times New Roman"/>
                <w:sz w:val="24"/>
              </w:rPr>
              <w:t>0030</w:t>
            </w:r>
          </w:p>
        </w:tc>
        <w:tc>
          <w:tcPr>
            <w:tcW w:w="7844" w:type="dxa"/>
          </w:tcPr>
          <w:p w14:paraId="396D9C75"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Pomyselná hodnota</w:t>
            </w:r>
          </w:p>
          <w:p w14:paraId="3D1812D7" w14:textId="4B39195D" w:rsidR="00680687" w:rsidRPr="00522E4F" w:rsidRDefault="00680687" w:rsidP="006A3ADC">
            <w:pPr>
              <w:rPr>
                <w:rFonts w:ascii="Times New Roman" w:hAnsi="Times New Roman"/>
                <w:sz w:val="24"/>
              </w:rPr>
            </w:pPr>
            <w:r w:rsidRPr="00522E4F">
              <w:rPr>
                <w:rFonts w:ascii="Times New Roman" w:hAnsi="Times New Roman"/>
                <w:sz w:val="24"/>
              </w:rPr>
              <w:t>Súčet pomyselných hodnôt derivátov pred akýmkoľvek vzájomným započítavaním</w:t>
            </w:r>
            <w:r w:rsidR="00522E4F">
              <w:rPr>
                <w:rFonts w:ascii="Times New Roman" w:hAnsi="Times New Roman"/>
                <w:sz w:val="24"/>
              </w:rPr>
              <w:t xml:space="preserve"> a </w:t>
            </w:r>
            <w:r w:rsidRPr="00522E4F">
              <w:rPr>
                <w:rFonts w:ascii="Times New Roman" w:hAnsi="Times New Roman"/>
                <w:sz w:val="24"/>
              </w:rPr>
              <w:t>bez akýchkoľvek úprav</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279b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6F18ADD" w14:textId="77777777" w:rsidTr="006A3ADC">
        <w:tc>
          <w:tcPr>
            <w:tcW w:w="1172" w:type="dxa"/>
          </w:tcPr>
          <w:p w14:paraId="54779968" w14:textId="77777777" w:rsidR="00680687" w:rsidRPr="00522E4F" w:rsidRDefault="00680687" w:rsidP="006A3ADC">
            <w:pPr>
              <w:rPr>
                <w:rFonts w:ascii="Times New Roman" w:hAnsi="Times New Roman"/>
                <w:sz w:val="24"/>
              </w:rPr>
            </w:pPr>
            <w:r w:rsidRPr="00522E4F">
              <w:rPr>
                <w:rFonts w:ascii="Times New Roman" w:hAnsi="Times New Roman"/>
                <w:sz w:val="24"/>
              </w:rPr>
              <w:t>0040</w:t>
            </w:r>
          </w:p>
        </w:tc>
        <w:tc>
          <w:tcPr>
            <w:tcW w:w="7844" w:type="dxa"/>
          </w:tcPr>
          <w:p w14:paraId="0B450F7D"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Spôsobené úpravy ocenenia pohľadávok</w:t>
            </w:r>
          </w:p>
          <w:p w14:paraId="736FE6AE" w14:textId="01BF8D6A" w:rsidR="00680687" w:rsidRPr="00522E4F" w:rsidRDefault="00680687" w:rsidP="006A3ADC">
            <w:pPr>
              <w:rPr>
                <w:rFonts w:ascii="Times New Roman" w:hAnsi="Times New Roman"/>
                <w:sz w:val="24"/>
              </w:rPr>
            </w:pPr>
            <w:r w:rsidRPr="00522E4F">
              <w:rPr>
                <w:rFonts w:ascii="Times New Roman" w:hAnsi="Times New Roman"/>
                <w:sz w:val="24"/>
              </w:rPr>
              <w:t>Účtovné opatrenia</w:t>
            </w:r>
            <w:r w:rsidR="00522E4F">
              <w:rPr>
                <w:rFonts w:ascii="Times New Roman" w:hAnsi="Times New Roman"/>
                <w:sz w:val="24"/>
              </w:rPr>
              <w:t xml:space="preserve"> z </w:t>
            </w:r>
            <w:r w:rsidRPr="00522E4F">
              <w:rPr>
                <w:rFonts w:ascii="Times New Roman" w:hAnsi="Times New Roman"/>
                <w:sz w:val="24"/>
              </w:rPr>
              <w:t>dôvodu zníženej kreditnej spoľahlivosti derivátových protistrán.</w:t>
            </w:r>
          </w:p>
        </w:tc>
      </w:tr>
      <w:tr w:rsidR="00680687" w:rsidRPr="00522E4F" w14:paraId="31462293" w14:textId="77777777" w:rsidTr="006A3ADC">
        <w:tc>
          <w:tcPr>
            <w:tcW w:w="1172" w:type="dxa"/>
          </w:tcPr>
          <w:p w14:paraId="1B68F842" w14:textId="77777777" w:rsidR="00680687" w:rsidRPr="00522E4F" w:rsidRDefault="00680687" w:rsidP="006A3ADC">
            <w:pPr>
              <w:rPr>
                <w:rFonts w:ascii="Times New Roman" w:hAnsi="Times New Roman"/>
                <w:sz w:val="24"/>
              </w:rPr>
            </w:pPr>
            <w:r w:rsidRPr="00522E4F">
              <w:rPr>
                <w:rFonts w:ascii="Times New Roman" w:hAnsi="Times New Roman"/>
                <w:sz w:val="24"/>
              </w:rPr>
              <w:t>0050</w:t>
            </w:r>
          </w:p>
        </w:tc>
        <w:tc>
          <w:tcPr>
            <w:tcW w:w="7844" w:type="dxa"/>
          </w:tcPr>
          <w:p w14:paraId="2508C9C1" w14:textId="31CE7F74"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Zjednodušené zaobchádzanie</w:t>
            </w:r>
            <w:r w:rsidR="00522E4F">
              <w:rPr>
                <w:rFonts w:ascii="Times New Roman" w:hAnsi="Times New Roman"/>
                <w:b/>
                <w:sz w:val="24"/>
                <w:u w:val="single"/>
              </w:rPr>
              <w:t xml:space="preserve"> s </w:t>
            </w:r>
            <w:r w:rsidRPr="00522E4F">
              <w:rPr>
                <w:rFonts w:ascii="Times New Roman" w:hAnsi="Times New Roman"/>
                <w:b/>
                <w:sz w:val="24"/>
                <w:u w:val="single"/>
              </w:rPr>
              <w:t>derivátovými pozíciami PKI</w:t>
            </w:r>
          </w:p>
          <w:p w14:paraId="5D30B96B" w14:textId="54909A62" w:rsidR="00680687" w:rsidRPr="00522E4F" w:rsidRDefault="00680687" w:rsidP="006A3ADC">
            <w:pPr>
              <w:rPr>
                <w:rFonts w:ascii="Times New Roman" w:hAnsi="Times New Roman"/>
                <w:sz w:val="24"/>
              </w:rPr>
            </w:pPr>
            <w:r w:rsidRPr="00522E4F">
              <w:rPr>
                <w:rFonts w:ascii="Times New Roman" w:hAnsi="Times New Roman"/>
                <w:sz w:val="24"/>
              </w:rPr>
              <w:t>Požiadavky na vlastné zdroje pre úpravy ocenenia pohľadávok [článok 92 ods. 4 písm. d)</w:t>
            </w:r>
            <w:r w:rsidR="00522E4F">
              <w:rPr>
                <w:rFonts w:ascii="Times New Roman" w:hAnsi="Times New Roman"/>
                <w:sz w:val="24"/>
              </w:rPr>
              <w:t xml:space="preserve"> a </w:t>
            </w:r>
            <w:r w:rsidRPr="00522E4F">
              <w:rPr>
                <w:rFonts w:ascii="Times New Roman" w:hAnsi="Times New Roman"/>
                <w:sz w:val="24"/>
              </w:rPr>
              <w:t xml:space="preserve">tretia časť hlava VI nariadenia (EÚ) </w:t>
            </w:r>
            <w:r w:rsidR="00522E4F">
              <w:rPr>
                <w:rFonts w:ascii="Times New Roman" w:hAnsi="Times New Roman"/>
                <w:sz w:val="24"/>
              </w:rPr>
              <w:t>č. </w:t>
            </w:r>
            <w:r w:rsidRPr="00522E4F">
              <w:rPr>
                <w:rFonts w:ascii="Times New Roman" w:hAnsi="Times New Roman"/>
                <w:sz w:val="24"/>
              </w:rPr>
              <w:t>575/2013] vypočítané</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o </w:t>
            </w:r>
            <w:r w:rsidRPr="00522E4F">
              <w:rPr>
                <w:rFonts w:ascii="Times New Roman" w:hAnsi="Times New Roman"/>
                <w:sz w:val="24"/>
              </w:rPr>
              <w:t>zjednodušeným zaobchádzaním</w:t>
            </w:r>
            <w:r w:rsidR="00522E4F">
              <w:rPr>
                <w:rFonts w:ascii="Times New Roman" w:hAnsi="Times New Roman"/>
                <w:sz w:val="24"/>
              </w:rPr>
              <w:t xml:space="preserve"> s </w:t>
            </w:r>
            <w:r w:rsidRPr="00522E4F">
              <w:rPr>
                <w:rFonts w:ascii="Times New Roman" w:hAnsi="Times New Roman"/>
                <w:sz w:val="24"/>
              </w:rPr>
              <w:t>derivátovými pozíciami PKI vymedzenými</w:t>
            </w:r>
            <w:r w:rsidR="00522E4F">
              <w:rPr>
                <w:rFonts w:ascii="Times New Roman" w:hAnsi="Times New Roman"/>
                <w:sz w:val="24"/>
              </w:rPr>
              <w:t xml:space="preserve"> v </w:t>
            </w:r>
            <w:r w:rsidRPr="00522E4F">
              <w:rPr>
                <w:rFonts w:ascii="Times New Roman" w:hAnsi="Times New Roman"/>
                <w:sz w:val="24"/>
              </w:rPr>
              <w:t>článkoch 132a ods. 3, 152 ods. 3</w:t>
            </w:r>
            <w:r w:rsidR="00522E4F">
              <w:rPr>
                <w:rFonts w:ascii="Times New Roman" w:hAnsi="Times New Roman"/>
                <w:sz w:val="24"/>
              </w:rPr>
              <w:t xml:space="preserve"> a </w:t>
            </w:r>
            <w:r w:rsidRPr="00522E4F">
              <w:rPr>
                <w:rFonts w:ascii="Times New Roman" w:hAnsi="Times New Roman"/>
                <w:sz w:val="24"/>
              </w:rPr>
              <w:t xml:space="preserve">325j ods. 1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30F1E0DD" w14:textId="77777777" w:rsidTr="006A3ADC">
        <w:tc>
          <w:tcPr>
            <w:tcW w:w="1172" w:type="dxa"/>
          </w:tcPr>
          <w:p w14:paraId="6AA94009" w14:textId="77777777" w:rsidR="00680687" w:rsidRPr="00522E4F" w:rsidRDefault="00680687" w:rsidP="006A3ADC">
            <w:pPr>
              <w:rPr>
                <w:rFonts w:ascii="Times New Roman" w:hAnsi="Times New Roman"/>
                <w:sz w:val="24"/>
              </w:rPr>
            </w:pPr>
            <w:r w:rsidRPr="00522E4F">
              <w:rPr>
                <w:rFonts w:ascii="Times New Roman" w:hAnsi="Times New Roman"/>
                <w:sz w:val="24"/>
              </w:rPr>
              <w:t>0060</w:t>
            </w:r>
          </w:p>
        </w:tc>
        <w:tc>
          <w:tcPr>
            <w:tcW w:w="7844" w:type="dxa"/>
          </w:tcPr>
          <w:p w14:paraId="7A0A82EA"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Zjednodušený postup</w:t>
            </w:r>
          </w:p>
          <w:p w14:paraId="004D4F8F" w14:textId="197E3AE7" w:rsidR="00680687" w:rsidRPr="00522E4F" w:rsidRDefault="00680687" w:rsidP="006A3ADC">
            <w:pPr>
              <w:rPr>
                <w:rFonts w:ascii="Times New Roman" w:hAnsi="Times New Roman"/>
                <w:sz w:val="24"/>
              </w:rPr>
            </w:pPr>
            <w:r w:rsidRPr="00522E4F">
              <w:rPr>
                <w:rFonts w:ascii="Times New Roman" w:hAnsi="Times New Roman"/>
                <w:sz w:val="24"/>
              </w:rPr>
              <w:lastRenderedPageBreak/>
              <w:t>Požiadavky na vlastné zdroje, na ktoré sa vzťahuje zjednodušený prístup stanovený</w:t>
            </w:r>
            <w:r w:rsidR="00522E4F">
              <w:rPr>
                <w:rFonts w:ascii="Times New Roman" w:hAnsi="Times New Roman"/>
                <w:sz w:val="24"/>
              </w:rPr>
              <w:t xml:space="preserve"> v </w:t>
            </w:r>
            <w:r w:rsidRPr="00522E4F">
              <w:rPr>
                <w:rFonts w:ascii="Times New Roman" w:hAnsi="Times New Roman"/>
                <w:sz w:val="24"/>
              </w:rPr>
              <w:t xml:space="preserve">článku 385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5F75A918" w14:textId="77777777" w:rsidTr="006A3ADC">
        <w:tc>
          <w:tcPr>
            <w:tcW w:w="1172" w:type="dxa"/>
          </w:tcPr>
          <w:p w14:paraId="4A4C55CD" w14:textId="77777777" w:rsidR="00680687" w:rsidRPr="00522E4F" w:rsidRDefault="00680687" w:rsidP="006A3ADC">
            <w:pPr>
              <w:rPr>
                <w:rFonts w:ascii="Times New Roman" w:hAnsi="Times New Roman"/>
                <w:sz w:val="24"/>
              </w:rPr>
            </w:pPr>
            <w:r w:rsidRPr="00522E4F">
              <w:rPr>
                <w:rFonts w:ascii="Times New Roman" w:hAnsi="Times New Roman"/>
                <w:sz w:val="24"/>
              </w:rPr>
              <w:lastRenderedPageBreak/>
              <w:t>0070</w:t>
            </w:r>
          </w:p>
        </w:tc>
        <w:tc>
          <w:tcPr>
            <w:tcW w:w="7844" w:type="dxa"/>
          </w:tcPr>
          <w:p w14:paraId="6D8487B1"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Znížený prístup BA-CVA</w:t>
            </w:r>
          </w:p>
          <w:p w14:paraId="10567290" w14:textId="14264C8F" w:rsidR="00680687" w:rsidRPr="00522E4F" w:rsidRDefault="00680687" w:rsidP="006A3ADC">
            <w:pPr>
              <w:rPr>
                <w:rFonts w:ascii="Times New Roman" w:hAnsi="Times New Roman"/>
                <w:sz w:val="24"/>
              </w:rPr>
            </w:pPr>
            <w:r w:rsidRPr="00522E4F">
              <w:rPr>
                <w:rFonts w:ascii="Times New Roman" w:hAnsi="Times New Roman"/>
                <w:sz w:val="24"/>
              </w:rPr>
              <w:t>Požiadavky na vlastné zdroje pre úpravy ocenenia pohľadávok [článok 92 ods. 4 písm. d)</w:t>
            </w:r>
            <w:r w:rsidR="00522E4F">
              <w:rPr>
                <w:rFonts w:ascii="Times New Roman" w:hAnsi="Times New Roman"/>
                <w:sz w:val="24"/>
              </w:rPr>
              <w:t xml:space="preserve"> a </w:t>
            </w:r>
            <w:r w:rsidRPr="00522E4F">
              <w:rPr>
                <w:rFonts w:ascii="Times New Roman" w:hAnsi="Times New Roman"/>
                <w:sz w:val="24"/>
              </w:rPr>
              <w:t xml:space="preserve">tretia časť hlava VI nariadenia (EÚ) </w:t>
            </w:r>
            <w:r w:rsidR="00522E4F">
              <w:rPr>
                <w:rFonts w:ascii="Times New Roman" w:hAnsi="Times New Roman"/>
                <w:sz w:val="24"/>
              </w:rPr>
              <w:t>č. </w:t>
            </w:r>
            <w:r w:rsidRPr="00522E4F">
              <w:rPr>
                <w:rFonts w:ascii="Times New Roman" w:hAnsi="Times New Roman"/>
                <w:sz w:val="24"/>
              </w:rPr>
              <w:t>575/2013] vypočítané</w:t>
            </w:r>
            <w:r w:rsidR="00522E4F">
              <w:rPr>
                <w:rFonts w:ascii="Times New Roman" w:hAnsi="Times New Roman"/>
                <w:sz w:val="24"/>
              </w:rPr>
              <w:t xml:space="preserve"> v </w:t>
            </w:r>
            <w:r w:rsidRPr="00522E4F">
              <w:rPr>
                <w:rFonts w:ascii="Times New Roman" w:hAnsi="Times New Roman"/>
                <w:sz w:val="24"/>
              </w:rPr>
              <w:t>súlade článkom 384 ods. 3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384 ods. 1 písm. b)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775123CE" w14:textId="77777777" w:rsidTr="006A3ADC">
        <w:tc>
          <w:tcPr>
            <w:tcW w:w="1172" w:type="dxa"/>
          </w:tcPr>
          <w:p w14:paraId="3FE4F30F" w14:textId="77777777" w:rsidR="00680687" w:rsidRPr="00522E4F" w:rsidRDefault="00680687" w:rsidP="006A3ADC">
            <w:pPr>
              <w:rPr>
                <w:rFonts w:ascii="Times New Roman" w:hAnsi="Times New Roman"/>
                <w:sz w:val="24"/>
              </w:rPr>
            </w:pPr>
            <w:r w:rsidRPr="00522E4F">
              <w:rPr>
                <w:rFonts w:ascii="Times New Roman" w:hAnsi="Times New Roman"/>
                <w:sz w:val="24"/>
              </w:rPr>
              <w:t>0080 – 0110</w:t>
            </w:r>
          </w:p>
        </w:tc>
        <w:tc>
          <w:tcPr>
            <w:tcW w:w="7844" w:type="dxa"/>
          </w:tcPr>
          <w:p w14:paraId="4D4D4B28"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Úplný prístup BA-CVA</w:t>
            </w:r>
          </w:p>
          <w:p w14:paraId="29492D07" w14:textId="51BB7253" w:rsidR="00680687" w:rsidRPr="00522E4F" w:rsidRDefault="00680687" w:rsidP="006A3ADC">
            <w:pPr>
              <w:rPr>
                <w:rFonts w:ascii="Times New Roman" w:hAnsi="Times New Roman"/>
                <w:b/>
                <w:sz w:val="24"/>
                <w:u w:val="single"/>
              </w:rPr>
            </w:pPr>
            <w:r w:rsidRPr="00522E4F">
              <w:rPr>
                <w:rFonts w:ascii="Times New Roman" w:hAnsi="Times New Roman"/>
                <w:sz w:val="24"/>
              </w:rPr>
              <w:t>Požiadavky na vlastné zdroje pre úpravy ocenenia pohľadávok [článok 92 ods. 4 písm. d)</w:t>
            </w:r>
            <w:r w:rsidR="00522E4F">
              <w:rPr>
                <w:rFonts w:ascii="Times New Roman" w:hAnsi="Times New Roman"/>
                <w:sz w:val="24"/>
              </w:rPr>
              <w:t xml:space="preserve"> a </w:t>
            </w:r>
            <w:r w:rsidRPr="00522E4F">
              <w:rPr>
                <w:rFonts w:ascii="Times New Roman" w:hAnsi="Times New Roman"/>
                <w:sz w:val="24"/>
              </w:rPr>
              <w:t xml:space="preserve">tretia časť hlava VI nariadenia (EÚ) </w:t>
            </w:r>
            <w:r w:rsidR="00522E4F">
              <w:rPr>
                <w:rFonts w:ascii="Times New Roman" w:hAnsi="Times New Roman"/>
                <w:sz w:val="24"/>
              </w:rPr>
              <w:t>č. </w:t>
            </w:r>
            <w:r w:rsidRPr="00522E4F">
              <w:rPr>
                <w:rFonts w:ascii="Times New Roman" w:hAnsi="Times New Roman"/>
                <w:sz w:val="24"/>
              </w:rPr>
              <w:t>575/2013] vypočítané</w:t>
            </w:r>
            <w:r w:rsidR="00522E4F">
              <w:rPr>
                <w:rFonts w:ascii="Times New Roman" w:hAnsi="Times New Roman"/>
                <w:sz w:val="24"/>
              </w:rPr>
              <w:t xml:space="preserve"> v </w:t>
            </w:r>
            <w:r w:rsidRPr="00522E4F">
              <w:rPr>
                <w:rFonts w:ascii="Times New Roman" w:hAnsi="Times New Roman"/>
                <w:sz w:val="24"/>
              </w:rPr>
              <w:t>súlade článkom 384 ods. 2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384 ods. 1 písm. a)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5CC39791" w14:textId="77777777" w:rsidTr="006A3ADC">
        <w:tc>
          <w:tcPr>
            <w:tcW w:w="1172" w:type="dxa"/>
          </w:tcPr>
          <w:p w14:paraId="7ED793DD" w14:textId="77777777" w:rsidR="00680687" w:rsidRPr="00522E4F" w:rsidRDefault="00680687" w:rsidP="006A3ADC">
            <w:pPr>
              <w:rPr>
                <w:rFonts w:ascii="Times New Roman" w:hAnsi="Times New Roman"/>
                <w:sz w:val="24"/>
              </w:rPr>
            </w:pPr>
            <w:r w:rsidRPr="00522E4F">
              <w:rPr>
                <w:rFonts w:ascii="Times New Roman" w:hAnsi="Times New Roman"/>
                <w:sz w:val="24"/>
              </w:rPr>
              <w:t>0080</w:t>
            </w:r>
          </w:p>
        </w:tc>
        <w:tc>
          <w:tcPr>
            <w:tcW w:w="7844" w:type="dxa"/>
          </w:tcPr>
          <w:p w14:paraId="2F507335"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 xml:space="preserve">Pomyselná hodnota </w:t>
            </w:r>
            <w:proofErr w:type="spellStart"/>
            <w:r w:rsidRPr="00522E4F">
              <w:rPr>
                <w:rFonts w:ascii="Times New Roman" w:hAnsi="Times New Roman"/>
                <w:b/>
                <w:sz w:val="24"/>
                <w:u w:val="single"/>
              </w:rPr>
              <w:t>hedžingov</w:t>
            </w:r>
            <w:proofErr w:type="spellEnd"/>
            <w:r w:rsidRPr="00522E4F">
              <w:rPr>
                <w:rFonts w:ascii="Times New Roman" w:hAnsi="Times New Roman"/>
                <w:b/>
                <w:sz w:val="24"/>
                <w:u w:val="single"/>
              </w:rPr>
              <w:t xml:space="preserve"> rizika úpravy ocenenia pohľadávok</w:t>
            </w:r>
          </w:p>
          <w:p w14:paraId="3C607DB7" w14:textId="50F96FAB" w:rsidR="00680687" w:rsidRPr="00522E4F" w:rsidRDefault="00680687" w:rsidP="006A3ADC">
            <w:pPr>
              <w:rPr>
                <w:rFonts w:ascii="Times New Roman" w:hAnsi="Times New Roman"/>
                <w:sz w:val="24"/>
              </w:rPr>
            </w:pPr>
            <w:r w:rsidRPr="00522E4F">
              <w:rPr>
                <w:rFonts w:ascii="Times New Roman" w:hAnsi="Times New Roman"/>
                <w:sz w:val="24"/>
              </w:rPr>
              <w:t xml:space="preserve">Pomyselná hodnota prípustných </w:t>
            </w:r>
            <w:proofErr w:type="spellStart"/>
            <w:r w:rsidRPr="00522E4F">
              <w:rPr>
                <w:rFonts w:ascii="Times New Roman" w:hAnsi="Times New Roman"/>
                <w:sz w:val="24"/>
              </w:rPr>
              <w:t>hedžingov</w:t>
            </w:r>
            <w:proofErr w:type="spellEnd"/>
            <w:r w:rsidRPr="00522E4F">
              <w:rPr>
                <w:rFonts w:ascii="Times New Roman" w:hAnsi="Times New Roman"/>
                <w:sz w:val="24"/>
              </w:rPr>
              <w:t xml:space="preserve"> rizika úpravy ocenenia pohľadávok (hrubé hodnoty) vykázaná</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386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5B5BEC0" w14:textId="77777777" w:rsidTr="006A3ADC">
        <w:tc>
          <w:tcPr>
            <w:tcW w:w="1172" w:type="dxa"/>
          </w:tcPr>
          <w:p w14:paraId="569A7775" w14:textId="77777777" w:rsidR="00680687" w:rsidRPr="00522E4F" w:rsidRDefault="00680687" w:rsidP="006A3ADC">
            <w:pPr>
              <w:rPr>
                <w:rFonts w:ascii="Times New Roman" w:hAnsi="Times New Roman"/>
                <w:sz w:val="24"/>
              </w:rPr>
            </w:pPr>
            <w:r w:rsidRPr="00522E4F">
              <w:rPr>
                <w:rFonts w:ascii="Times New Roman" w:hAnsi="Times New Roman"/>
                <w:sz w:val="24"/>
              </w:rPr>
              <w:t>0090</w:t>
            </w:r>
          </w:p>
        </w:tc>
        <w:tc>
          <w:tcPr>
            <w:tcW w:w="7844" w:type="dxa"/>
          </w:tcPr>
          <w:p w14:paraId="7EE59EEA" w14:textId="77777777" w:rsidR="00680687" w:rsidRPr="00522E4F" w:rsidRDefault="00680687" w:rsidP="006A3ADC">
            <w:pPr>
              <w:rPr>
                <w:rFonts w:ascii="Times New Roman" w:hAnsi="Times New Roman"/>
                <w:sz w:val="24"/>
              </w:rPr>
            </w:pPr>
            <w:proofErr w:type="spellStart"/>
            <w:r w:rsidRPr="00522E4F">
              <w:rPr>
                <w:rFonts w:ascii="Times New Roman" w:hAnsi="Times New Roman"/>
                <w:b/>
                <w:sz w:val="24"/>
                <w:u w:val="single"/>
              </w:rPr>
              <w:t>BACVA</w:t>
            </w:r>
            <w:r w:rsidRPr="00522E4F">
              <w:rPr>
                <w:rFonts w:ascii="Times New Roman" w:hAnsi="Times New Roman"/>
                <w:b/>
                <w:sz w:val="24"/>
                <w:vertAlign w:val="superscript"/>
              </w:rPr>
              <w:t>csr-unhedged</w:t>
            </w:r>
            <w:proofErr w:type="spellEnd"/>
          </w:p>
          <w:p w14:paraId="4A0E67ED" w14:textId="3D39E505" w:rsidR="00680687" w:rsidRPr="00522E4F" w:rsidRDefault="00680687" w:rsidP="006A3ADC">
            <w:pPr>
              <w:rPr>
                <w:rFonts w:ascii="Times New Roman" w:hAnsi="Times New Roman"/>
                <w:sz w:val="24"/>
              </w:rPr>
            </w:pPr>
            <w:proofErr w:type="spellStart"/>
            <w:r w:rsidRPr="00522E4F">
              <w:rPr>
                <w:rFonts w:ascii="Times New Roman" w:hAnsi="Times New Roman"/>
                <w:sz w:val="24"/>
              </w:rPr>
              <w:t>BACVAcsr-unhedged</w:t>
            </w:r>
            <w:proofErr w:type="spellEnd"/>
            <w:r w:rsidRPr="00522E4F">
              <w:rPr>
                <w:rFonts w:ascii="Times New Roman" w:hAnsi="Times New Roman"/>
                <w:sz w:val="24"/>
              </w:rPr>
              <w:t xml:space="preserve"> pre transakcie, na ktoré sa vzťahuje základný prístup vypočítaný</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článkom 384 ods. 3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384 ods. 1 písm. b)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1E238074" w14:textId="77777777" w:rsidTr="006A3ADC">
        <w:tc>
          <w:tcPr>
            <w:tcW w:w="1172" w:type="dxa"/>
          </w:tcPr>
          <w:p w14:paraId="48638273"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0100</w:t>
            </w:r>
          </w:p>
        </w:tc>
        <w:tc>
          <w:tcPr>
            <w:tcW w:w="7844" w:type="dxa"/>
          </w:tcPr>
          <w:p w14:paraId="2C90402F" w14:textId="77777777" w:rsidR="00680687" w:rsidRPr="00522E4F" w:rsidRDefault="00680687" w:rsidP="006A3ADC">
            <w:pPr>
              <w:rPr>
                <w:rFonts w:ascii="Times New Roman" w:hAnsi="Times New Roman"/>
                <w:b/>
                <w:sz w:val="24"/>
                <w:vertAlign w:val="superscript"/>
              </w:rPr>
            </w:pPr>
            <w:proofErr w:type="spellStart"/>
            <w:r w:rsidRPr="00522E4F">
              <w:rPr>
                <w:rFonts w:ascii="Times New Roman" w:hAnsi="Times New Roman"/>
                <w:b/>
                <w:sz w:val="24"/>
                <w:u w:val="single"/>
              </w:rPr>
              <w:t>BACVA</w:t>
            </w:r>
            <w:r w:rsidRPr="00522E4F">
              <w:rPr>
                <w:rFonts w:ascii="Times New Roman" w:hAnsi="Times New Roman"/>
                <w:b/>
                <w:sz w:val="24"/>
                <w:vertAlign w:val="superscript"/>
              </w:rPr>
              <w:t>csr-hedged</w:t>
            </w:r>
            <w:proofErr w:type="spellEnd"/>
          </w:p>
          <w:p w14:paraId="34FB0CB6" w14:textId="1BE88805" w:rsidR="00680687" w:rsidRPr="00522E4F" w:rsidDel="00024DEA" w:rsidRDefault="00680687" w:rsidP="006A3ADC">
            <w:pPr>
              <w:rPr>
                <w:rFonts w:ascii="Times New Roman" w:hAnsi="Times New Roman"/>
                <w:b/>
                <w:sz w:val="24"/>
                <w:u w:val="single"/>
              </w:rPr>
            </w:pPr>
            <w:proofErr w:type="spellStart"/>
            <w:r w:rsidRPr="00522E4F">
              <w:rPr>
                <w:rFonts w:ascii="Times New Roman" w:hAnsi="Times New Roman"/>
                <w:sz w:val="24"/>
              </w:rPr>
              <w:t>BACVAcsr-hedged</w:t>
            </w:r>
            <w:proofErr w:type="spellEnd"/>
            <w:r w:rsidRPr="00522E4F">
              <w:rPr>
                <w:rFonts w:ascii="Times New Roman" w:hAnsi="Times New Roman"/>
                <w:sz w:val="24"/>
              </w:rPr>
              <w:t xml:space="preserve"> pre transakcie, na ktoré sa vzťahuje základný prístup vypočítaný</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článkom 384 ods. 2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384 ods. 1 písm. a) nariadenia (EÚ) </w:t>
            </w:r>
            <w:r w:rsidR="00522E4F">
              <w:rPr>
                <w:rFonts w:ascii="Times New Roman" w:hAnsi="Times New Roman"/>
                <w:sz w:val="24"/>
              </w:rPr>
              <w:t>č. </w:t>
            </w:r>
            <w:r w:rsidRPr="00522E4F">
              <w:rPr>
                <w:rFonts w:ascii="Times New Roman" w:hAnsi="Times New Roman"/>
                <w:sz w:val="24"/>
              </w:rPr>
              <w:t xml:space="preserve">575/2013. </w:t>
            </w:r>
          </w:p>
        </w:tc>
      </w:tr>
      <w:tr w:rsidR="00680687" w:rsidRPr="00522E4F" w14:paraId="00FE8EDC" w14:textId="77777777" w:rsidTr="006A3ADC">
        <w:tc>
          <w:tcPr>
            <w:tcW w:w="1172" w:type="dxa"/>
          </w:tcPr>
          <w:p w14:paraId="5303AFEA"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0110</w:t>
            </w:r>
          </w:p>
        </w:tc>
        <w:tc>
          <w:tcPr>
            <w:tcW w:w="7844" w:type="dxa"/>
          </w:tcPr>
          <w:p w14:paraId="4F8092AD"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Požiadavky na vlastné zdroje</w:t>
            </w:r>
          </w:p>
          <w:p w14:paraId="1287DB8E" w14:textId="7FC1F2FA"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Celkové požiadavky na vlastné zdroje pre transakcie, na ktoré sa vzťahuje plný základný prístup vypočítaný</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článkom 384 ods. 2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384 ods. 1 písm. a)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4D9D19AA" w14:textId="77777777" w:rsidTr="006A3ADC">
        <w:tc>
          <w:tcPr>
            <w:tcW w:w="1172" w:type="dxa"/>
          </w:tcPr>
          <w:p w14:paraId="40BB5135"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0120 –⁠⁠ 0270</w:t>
            </w:r>
          </w:p>
        </w:tc>
        <w:tc>
          <w:tcPr>
            <w:tcW w:w="7844" w:type="dxa"/>
          </w:tcPr>
          <w:p w14:paraId="6D273C70"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Prístup SA-CVA</w:t>
            </w:r>
          </w:p>
          <w:p w14:paraId="1546865B" w14:textId="548F3C44"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Požiadavky na vlastné zdroje pre úpravy ocenenia pohľadávok [článok 92 ods. 4 písm. d)</w:t>
            </w:r>
            <w:r w:rsidR="00522E4F">
              <w:rPr>
                <w:rFonts w:ascii="Times New Roman" w:hAnsi="Times New Roman"/>
                <w:sz w:val="24"/>
              </w:rPr>
              <w:t xml:space="preserve"> a </w:t>
            </w:r>
            <w:r w:rsidRPr="00522E4F">
              <w:rPr>
                <w:rFonts w:ascii="Times New Roman" w:hAnsi="Times New Roman"/>
                <w:sz w:val="24"/>
              </w:rPr>
              <w:t xml:space="preserve">tretia časť hlava VI nariadenia (EÚ) </w:t>
            </w:r>
            <w:r w:rsidR="00522E4F">
              <w:rPr>
                <w:rFonts w:ascii="Times New Roman" w:hAnsi="Times New Roman"/>
                <w:sz w:val="24"/>
              </w:rPr>
              <w:t>č. </w:t>
            </w:r>
            <w:r w:rsidRPr="00522E4F">
              <w:rPr>
                <w:rFonts w:ascii="Times New Roman" w:hAnsi="Times New Roman"/>
                <w:sz w:val="24"/>
              </w:rPr>
              <w:t>575/2013] vypočítané</w:t>
            </w:r>
            <w:r w:rsidR="00522E4F">
              <w:rPr>
                <w:rFonts w:ascii="Times New Roman" w:hAnsi="Times New Roman"/>
                <w:sz w:val="24"/>
              </w:rPr>
              <w:t xml:space="preserve"> v </w:t>
            </w:r>
            <w:r w:rsidRPr="00522E4F">
              <w:rPr>
                <w:rFonts w:ascii="Times New Roman" w:hAnsi="Times New Roman"/>
                <w:sz w:val="24"/>
              </w:rPr>
              <w:t>súlade článkom 383 pre inštitúciu, ktorá spĺňa podmienku stanovenú</w:t>
            </w:r>
            <w:r w:rsidR="00522E4F">
              <w:rPr>
                <w:rFonts w:ascii="Times New Roman" w:hAnsi="Times New Roman"/>
                <w:sz w:val="24"/>
              </w:rPr>
              <w:t xml:space="preserve"> v </w:t>
            </w:r>
            <w:r w:rsidRPr="00522E4F">
              <w:rPr>
                <w:rFonts w:ascii="Times New Roman" w:hAnsi="Times New Roman"/>
                <w:sz w:val="24"/>
              </w:rPr>
              <w:t xml:space="preserve">článku 382a ods. 1 písm. a)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5255F9B" w14:textId="77777777" w:rsidTr="006A3ADC">
        <w:tc>
          <w:tcPr>
            <w:tcW w:w="1172" w:type="dxa"/>
          </w:tcPr>
          <w:p w14:paraId="1EEE68F9"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0120</w:t>
            </w:r>
          </w:p>
        </w:tc>
        <w:tc>
          <w:tcPr>
            <w:tcW w:w="7844" w:type="dxa"/>
          </w:tcPr>
          <w:p w14:paraId="3B3DE69C"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 xml:space="preserve">Pomyselná hodnota </w:t>
            </w:r>
            <w:proofErr w:type="spellStart"/>
            <w:r w:rsidRPr="00522E4F">
              <w:rPr>
                <w:rFonts w:ascii="Times New Roman" w:hAnsi="Times New Roman"/>
                <w:b/>
                <w:sz w:val="24"/>
                <w:u w:val="single"/>
              </w:rPr>
              <w:t>hedžingov</w:t>
            </w:r>
            <w:proofErr w:type="spellEnd"/>
            <w:r w:rsidRPr="00522E4F">
              <w:rPr>
                <w:rFonts w:ascii="Times New Roman" w:hAnsi="Times New Roman"/>
                <w:b/>
                <w:sz w:val="24"/>
                <w:u w:val="single"/>
              </w:rPr>
              <w:t xml:space="preserve"> rizika úpravy ocenenia pohľadávok</w:t>
            </w:r>
          </w:p>
          <w:p w14:paraId="50C4B375" w14:textId="48116966"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Pomyselná hodnota </w:t>
            </w:r>
            <w:proofErr w:type="spellStart"/>
            <w:r w:rsidRPr="00522E4F">
              <w:rPr>
                <w:rFonts w:ascii="Times New Roman" w:hAnsi="Times New Roman"/>
                <w:sz w:val="24"/>
              </w:rPr>
              <w:t>hedžingov</w:t>
            </w:r>
            <w:proofErr w:type="spellEnd"/>
            <w:r w:rsidRPr="00522E4F">
              <w:rPr>
                <w:rFonts w:ascii="Times New Roman" w:hAnsi="Times New Roman"/>
                <w:sz w:val="24"/>
              </w:rPr>
              <w:t xml:space="preserve"> rizika úpravy ocenenia pohľadávok vykázaná</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386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6842E160" w14:textId="77777777" w:rsidTr="006A3ADC">
        <w:tc>
          <w:tcPr>
            <w:tcW w:w="1172" w:type="dxa"/>
          </w:tcPr>
          <w:p w14:paraId="25D17774"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lastRenderedPageBreak/>
              <w:t>0130</w:t>
            </w:r>
          </w:p>
        </w:tc>
        <w:tc>
          <w:tcPr>
            <w:tcW w:w="7844" w:type="dxa"/>
          </w:tcPr>
          <w:p w14:paraId="6FE0752E"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Počet protistrán</w:t>
            </w:r>
          </w:p>
          <w:p w14:paraId="10FC4FF6" w14:textId="6736DE49" w:rsidR="00680687" w:rsidRPr="00522E4F" w:rsidRDefault="00680687" w:rsidP="006A3ADC">
            <w:pPr>
              <w:rPr>
                <w:rFonts w:ascii="Times New Roman" w:hAnsi="Times New Roman"/>
                <w:sz w:val="24"/>
              </w:rPr>
            </w:pPr>
            <w:r w:rsidRPr="00522E4F">
              <w:rPr>
                <w:rFonts w:ascii="Times New Roman" w:hAnsi="Times New Roman"/>
                <w:sz w:val="24"/>
              </w:rPr>
              <w:t xml:space="preserve">Článok 445a ods. 1 písm. c) nariadenia (EÚ) </w:t>
            </w:r>
            <w:r w:rsidR="00522E4F">
              <w:rPr>
                <w:rFonts w:ascii="Times New Roman" w:hAnsi="Times New Roman"/>
                <w:sz w:val="24"/>
              </w:rPr>
              <w:t>č. </w:t>
            </w:r>
            <w:r w:rsidRPr="00522E4F">
              <w:rPr>
                <w:rFonts w:ascii="Times New Roman" w:hAnsi="Times New Roman"/>
                <w:sz w:val="24"/>
              </w:rPr>
              <w:t>575/2013</w:t>
            </w:r>
          </w:p>
          <w:p w14:paraId="3A9459B9" w14:textId="2C55C153" w:rsidR="00680687" w:rsidRPr="00522E4F" w:rsidDel="00024DEA" w:rsidRDefault="00680687" w:rsidP="006A3ADC">
            <w:pPr>
              <w:rPr>
                <w:rFonts w:ascii="Times New Roman" w:hAnsi="Times New Roman"/>
                <w:sz w:val="24"/>
              </w:rPr>
            </w:pPr>
            <w:r w:rsidRPr="00522E4F">
              <w:rPr>
                <w:rFonts w:ascii="Times New Roman" w:hAnsi="Times New Roman"/>
                <w:sz w:val="24"/>
              </w:rPr>
              <w:t>Počet protistrán</w:t>
            </w:r>
            <w:r w:rsidR="00522E4F">
              <w:rPr>
                <w:rFonts w:ascii="Times New Roman" w:hAnsi="Times New Roman"/>
                <w:sz w:val="24"/>
              </w:rPr>
              <w:t xml:space="preserve"> v </w:t>
            </w:r>
            <w:r w:rsidRPr="00522E4F">
              <w:rPr>
                <w:rFonts w:ascii="Times New Roman" w:hAnsi="Times New Roman"/>
                <w:sz w:val="24"/>
              </w:rPr>
              <w:t>zmysle vymedzenia</w:t>
            </w:r>
            <w:r w:rsidR="00522E4F">
              <w:rPr>
                <w:rFonts w:ascii="Times New Roman" w:hAnsi="Times New Roman"/>
                <w:sz w:val="24"/>
              </w:rPr>
              <w:t xml:space="preserve"> v </w:t>
            </w:r>
            <w:r w:rsidRPr="00522E4F">
              <w:rPr>
                <w:rFonts w:ascii="Times New Roman" w:hAnsi="Times New Roman"/>
                <w:sz w:val="24"/>
              </w:rPr>
              <w:t xml:space="preserve">článku 383 ods. 1 nariadenia (EÚ) </w:t>
            </w:r>
            <w:r w:rsidR="00522E4F">
              <w:rPr>
                <w:rFonts w:ascii="Times New Roman" w:hAnsi="Times New Roman"/>
                <w:sz w:val="24"/>
              </w:rPr>
              <w:t>č. </w:t>
            </w:r>
            <w:r w:rsidRPr="00522E4F">
              <w:rPr>
                <w:rFonts w:ascii="Times New Roman" w:hAnsi="Times New Roman"/>
                <w:sz w:val="24"/>
              </w:rPr>
              <w:t>575/2013 zahrnutý do výpočtu vlastných zdrojov pre riziko úpravy ocenenia pohľadávok podľa SA. Celkový počet sa vykazuje</w:t>
            </w:r>
            <w:r w:rsidR="00522E4F">
              <w:rPr>
                <w:rFonts w:ascii="Times New Roman" w:hAnsi="Times New Roman"/>
                <w:sz w:val="24"/>
              </w:rPr>
              <w:t xml:space="preserve"> v </w:t>
            </w:r>
            <w:r w:rsidRPr="00522E4F">
              <w:rPr>
                <w:rFonts w:ascii="Times New Roman" w:hAnsi="Times New Roman"/>
                <w:sz w:val="24"/>
              </w:rPr>
              <w:t>riadku 0010</w:t>
            </w:r>
            <w:r w:rsidR="00522E4F">
              <w:rPr>
                <w:rFonts w:ascii="Times New Roman" w:hAnsi="Times New Roman"/>
                <w:sz w:val="24"/>
              </w:rPr>
              <w:t xml:space="preserve"> a </w:t>
            </w:r>
            <w:r w:rsidRPr="00522E4F">
              <w:rPr>
                <w:rFonts w:ascii="Times New Roman" w:hAnsi="Times New Roman"/>
                <w:sz w:val="24"/>
              </w:rPr>
              <w:t>rozčlenenie podľa protistrany</w:t>
            </w:r>
            <w:r w:rsidR="00522E4F">
              <w:rPr>
                <w:rFonts w:ascii="Times New Roman" w:hAnsi="Times New Roman"/>
                <w:sz w:val="24"/>
              </w:rPr>
              <w:t xml:space="preserve"> v </w:t>
            </w:r>
            <w:r w:rsidRPr="00522E4F">
              <w:rPr>
                <w:rFonts w:ascii="Times New Roman" w:hAnsi="Times New Roman"/>
                <w:sz w:val="24"/>
              </w:rPr>
              <w:t>riadkoch 0170 – 0220.</w:t>
            </w:r>
          </w:p>
        </w:tc>
      </w:tr>
      <w:tr w:rsidR="00680687" w:rsidRPr="00522E4F" w14:paraId="03E5B4A8" w14:textId="77777777" w:rsidTr="006A3ADC">
        <w:tc>
          <w:tcPr>
            <w:tcW w:w="1172" w:type="dxa"/>
          </w:tcPr>
          <w:p w14:paraId="68CD118A"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0140 – 0250</w:t>
            </w:r>
          </w:p>
        </w:tc>
        <w:tc>
          <w:tcPr>
            <w:tcW w:w="7844" w:type="dxa"/>
          </w:tcPr>
          <w:p w14:paraId="1E26CA07"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súbory vzájomného započítavania podľa prístupu SA-CVA</w:t>
            </w:r>
          </w:p>
          <w:p w14:paraId="512141CA" w14:textId="294AD4D4"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Požiadavky na vlastné zdroje pre riziko úpravy ocenenia pohľadávok</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383 nariadenia (EÚ) </w:t>
            </w:r>
            <w:r w:rsidR="00522E4F">
              <w:rPr>
                <w:rFonts w:ascii="Times New Roman" w:hAnsi="Times New Roman"/>
                <w:sz w:val="24"/>
              </w:rPr>
              <w:t>č. </w:t>
            </w:r>
            <w:r w:rsidRPr="00522E4F">
              <w:rPr>
                <w:rFonts w:ascii="Times New Roman" w:hAnsi="Times New Roman"/>
                <w:sz w:val="24"/>
              </w:rPr>
              <w:t>575/2013 vrátane rozčlenenia podľa tried rizika</w:t>
            </w:r>
            <w:r w:rsidR="00522E4F">
              <w:rPr>
                <w:rFonts w:ascii="Times New Roman" w:hAnsi="Times New Roman"/>
                <w:sz w:val="24"/>
              </w:rPr>
              <w:t xml:space="preserve"> v </w:t>
            </w:r>
            <w:r w:rsidRPr="00522E4F">
              <w:rPr>
                <w:rFonts w:ascii="Times New Roman" w:hAnsi="Times New Roman"/>
                <w:sz w:val="24"/>
              </w:rPr>
              <w:t>zmysle vymedzenia</w:t>
            </w:r>
            <w:r w:rsidR="00522E4F">
              <w:rPr>
                <w:rFonts w:ascii="Times New Roman" w:hAnsi="Times New Roman"/>
                <w:sz w:val="24"/>
              </w:rPr>
              <w:t xml:space="preserve"> v </w:t>
            </w:r>
            <w:r w:rsidRPr="00522E4F">
              <w:rPr>
                <w:rFonts w:ascii="Times New Roman" w:hAnsi="Times New Roman"/>
                <w:sz w:val="24"/>
              </w:rPr>
              <w:t>článku 383 ods. 2 bode 1</w:t>
            </w:r>
            <w:r w:rsidR="00522E4F">
              <w:rPr>
                <w:rFonts w:ascii="Times New Roman" w:hAnsi="Times New Roman"/>
                <w:sz w:val="24"/>
              </w:rPr>
              <w:t xml:space="preserve"> a </w:t>
            </w:r>
            <w:r w:rsidRPr="00522E4F">
              <w:rPr>
                <w:rFonts w:ascii="Times New Roman" w:hAnsi="Times New Roman"/>
                <w:sz w:val="24"/>
              </w:rPr>
              <w:t>pre každú</w:t>
            </w:r>
            <w:r w:rsidR="00522E4F">
              <w:rPr>
                <w:rFonts w:ascii="Times New Roman" w:hAnsi="Times New Roman"/>
                <w:sz w:val="24"/>
              </w:rPr>
              <w:t xml:space="preserve"> z </w:t>
            </w:r>
            <w:r w:rsidRPr="00522E4F">
              <w:rPr>
                <w:rFonts w:ascii="Times New Roman" w:hAnsi="Times New Roman"/>
                <w:sz w:val="24"/>
              </w:rPr>
              <w:t>tried rizika požiadaviek na vlastné zdroje pre riziko delta</w:t>
            </w:r>
            <w:r w:rsidR="00522E4F">
              <w:rPr>
                <w:rFonts w:ascii="Times New Roman" w:hAnsi="Times New Roman"/>
                <w:sz w:val="24"/>
              </w:rPr>
              <w:t xml:space="preserve"> a </w:t>
            </w:r>
            <w:r w:rsidRPr="00522E4F">
              <w:rPr>
                <w:rFonts w:ascii="Times New Roman" w:hAnsi="Times New Roman"/>
                <w:sz w:val="24"/>
              </w:rPr>
              <w:t xml:space="preserve">riziko </w:t>
            </w:r>
            <w:proofErr w:type="spellStart"/>
            <w:r w:rsidRPr="00522E4F">
              <w:rPr>
                <w:rFonts w:ascii="Times New Roman" w:hAnsi="Times New Roman"/>
                <w:sz w:val="24"/>
              </w:rPr>
              <w:t>vega</w:t>
            </w:r>
            <w:proofErr w:type="spellEnd"/>
            <w:r w:rsidRPr="00522E4F">
              <w:rPr>
                <w:rFonts w:ascii="Times New Roman" w:hAnsi="Times New Roman"/>
                <w:sz w:val="24"/>
              </w:rPr>
              <w:t>, ako sa vyžaduje</w:t>
            </w:r>
            <w:r w:rsidR="00522E4F">
              <w:rPr>
                <w:rFonts w:ascii="Times New Roman" w:hAnsi="Times New Roman"/>
                <w:sz w:val="24"/>
              </w:rPr>
              <w:t xml:space="preserve"> v </w:t>
            </w:r>
            <w:r w:rsidRPr="00522E4F">
              <w:rPr>
                <w:rFonts w:ascii="Times New Roman" w:hAnsi="Times New Roman"/>
                <w:sz w:val="24"/>
              </w:rPr>
              <w:t>článku 383 ods. 3</w:t>
            </w:r>
            <w:r w:rsidR="00522E4F">
              <w:rPr>
                <w:rFonts w:ascii="Times New Roman" w:hAnsi="Times New Roman"/>
                <w:sz w:val="24"/>
              </w:rPr>
              <w:t xml:space="preserve"> a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383b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1BC8EFF8" w14:textId="77777777" w:rsidTr="006A3ADC">
        <w:tc>
          <w:tcPr>
            <w:tcW w:w="1172" w:type="dxa"/>
          </w:tcPr>
          <w:p w14:paraId="1E505571"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0140 – 0150</w:t>
            </w:r>
          </w:p>
        </w:tc>
        <w:tc>
          <w:tcPr>
            <w:tcW w:w="7844" w:type="dxa"/>
          </w:tcPr>
          <w:p w14:paraId="0AEAA3AD"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úrokové riziko</w:t>
            </w:r>
          </w:p>
          <w:p w14:paraId="6695CC3B" w14:textId="6F3B4751"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Články 383c, 383i, 383j, 383k, 383l, 383m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728092B0" w14:textId="77777777" w:rsidTr="006A3ADC">
        <w:tc>
          <w:tcPr>
            <w:tcW w:w="1172" w:type="dxa"/>
          </w:tcPr>
          <w:p w14:paraId="06AAAC3A"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0160 –⁠ 0170</w:t>
            </w:r>
          </w:p>
        </w:tc>
        <w:tc>
          <w:tcPr>
            <w:tcW w:w="7844" w:type="dxa"/>
          </w:tcPr>
          <w:p w14:paraId="5C9DEA36"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devízové riziko</w:t>
            </w:r>
          </w:p>
          <w:p w14:paraId="312EFBD9" w14:textId="3CCB1223"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Články 383d, 383i, 383j, 383n, 383o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A26F3BC" w14:textId="77777777" w:rsidTr="006A3ADC">
        <w:tc>
          <w:tcPr>
            <w:tcW w:w="1172" w:type="dxa"/>
          </w:tcPr>
          <w:p w14:paraId="4988687E"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0180 –⁠ 0190</w:t>
            </w:r>
          </w:p>
        </w:tc>
        <w:tc>
          <w:tcPr>
            <w:tcW w:w="7844" w:type="dxa"/>
          </w:tcPr>
          <w:p w14:paraId="111D7BAC"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riziko kreditného rozpätia protistrany</w:t>
            </w:r>
          </w:p>
          <w:p w14:paraId="331E3D6B" w14:textId="35DA94F1"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Články 383e, 383i, 383j, 383p, 383q, 383r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589DE234" w14:textId="77777777" w:rsidTr="006A3ADC">
        <w:tc>
          <w:tcPr>
            <w:tcW w:w="1172" w:type="dxa"/>
          </w:tcPr>
          <w:p w14:paraId="3361402D"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0200 –⁠ 0210</w:t>
            </w:r>
          </w:p>
        </w:tc>
        <w:tc>
          <w:tcPr>
            <w:tcW w:w="7844" w:type="dxa"/>
          </w:tcPr>
          <w:p w14:paraId="34E7BFC3"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riziko referenčného kreditného rozpätia</w:t>
            </w:r>
          </w:p>
          <w:p w14:paraId="39B46545" w14:textId="50E845BD"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Články 383f, 383i, 383j, 383s, 383u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0AA17295" w14:textId="77777777" w:rsidTr="006A3ADC">
        <w:tc>
          <w:tcPr>
            <w:tcW w:w="1172" w:type="dxa"/>
          </w:tcPr>
          <w:p w14:paraId="3BFBD270" w14:textId="77777777" w:rsidR="00680687" w:rsidRPr="00522E4F" w:rsidRDefault="00680687" w:rsidP="006A3ADC">
            <w:pPr>
              <w:rPr>
                <w:rFonts w:ascii="Times New Roman" w:hAnsi="Times New Roman"/>
                <w:sz w:val="24"/>
              </w:rPr>
            </w:pPr>
            <w:r w:rsidRPr="00522E4F">
              <w:rPr>
                <w:rFonts w:ascii="Times New Roman" w:hAnsi="Times New Roman"/>
                <w:sz w:val="24"/>
              </w:rPr>
              <w:t>0220 –⁠ 0230</w:t>
            </w:r>
          </w:p>
        </w:tc>
        <w:tc>
          <w:tcPr>
            <w:tcW w:w="7844" w:type="dxa"/>
          </w:tcPr>
          <w:p w14:paraId="46C4DB98"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akciové riziko</w:t>
            </w:r>
          </w:p>
          <w:p w14:paraId="092925F2" w14:textId="10EC54AF" w:rsidR="00680687" w:rsidRPr="00522E4F" w:rsidRDefault="00680687" w:rsidP="006A3ADC">
            <w:pPr>
              <w:rPr>
                <w:rFonts w:ascii="Times New Roman" w:hAnsi="Times New Roman"/>
                <w:b/>
                <w:sz w:val="24"/>
                <w:u w:val="single"/>
              </w:rPr>
            </w:pPr>
            <w:r w:rsidRPr="00522E4F">
              <w:rPr>
                <w:rFonts w:ascii="Times New Roman" w:hAnsi="Times New Roman"/>
                <w:sz w:val="24"/>
              </w:rPr>
              <w:t xml:space="preserve">Články 383g, 383i, 383j, 383v, 383w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63100E64" w14:textId="77777777" w:rsidTr="006A3ADC">
        <w:tc>
          <w:tcPr>
            <w:tcW w:w="1172" w:type="dxa"/>
          </w:tcPr>
          <w:p w14:paraId="6EB58469"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0240 –⁠ 0250</w:t>
            </w:r>
          </w:p>
        </w:tc>
        <w:tc>
          <w:tcPr>
            <w:tcW w:w="7844" w:type="dxa"/>
          </w:tcPr>
          <w:p w14:paraId="44A59885" w14:textId="77777777" w:rsidR="00680687" w:rsidRPr="00522E4F" w:rsidRDefault="00680687" w:rsidP="006A3ADC">
            <w:pPr>
              <w:rPr>
                <w:rFonts w:ascii="Times New Roman" w:hAnsi="Times New Roman"/>
                <w:b/>
                <w:sz w:val="24"/>
                <w:u w:val="single"/>
              </w:rPr>
            </w:pPr>
            <w:r w:rsidRPr="00522E4F">
              <w:rPr>
                <w:rFonts w:ascii="Times New Roman" w:hAnsi="Times New Roman"/>
                <w:b/>
                <w:sz w:val="24"/>
                <w:u w:val="single"/>
              </w:rPr>
              <w:t>Požiadavky na vlastné zdroje pre komoditné riziko</w:t>
            </w:r>
          </w:p>
          <w:p w14:paraId="1FD90135" w14:textId="321D6CED"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Články 383h, 383i, 383j, 383x, 383z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6E2BE277" w14:textId="77777777" w:rsidTr="006A3ADC">
        <w:tc>
          <w:tcPr>
            <w:tcW w:w="1172" w:type="dxa"/>
          </w:tcPr>
          <w:p w14:paraId="7A04FEBF"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0260</w:t>
            </w:r>
          </w:p>
        </w:tc>
        <w:tc>
          <w:tcPr>
            <w:tcW w:w="7844" w:type="dxa"/>
          </w:tcPr>
          <w:p w14:paraId="2CADDF39" w14:textId="77777777" w:rsidR="00680687" w:rsidRPr="00522E4F" w:rsidRDefault="00680687" w:rsidP="006A3ADC">
            <w:pPr>
              <w:rPr>
                <w:rFonts w:ascii="Times New Roman" w:hAnsi="Times New Roman"/>
                <w:b/>
                <w:sz w:val="24"/>
                <w:u w:val="single"/>
              </w:rPr>
            </w:pPr>
            <w:proofErr w:type="spellStart"/>
            <w:r w:rsidRPr="00522E4F">
              <w:rPr>
                <w:rFonts w:ascii="Times New Roman" w:hAnsi="Times New Roman"/>
                <w:b/>
                <w:i/>
                <w:sz w:val="24"/>
                <w:u w:val="single"/>
                <w:vertAlign w:val="superscript"/>
              </w:rPr>
              <w:t>m</w:t>
            </w:r>
            <w:r w:rsidRPr="00522E4F">
              <w:rPr>
                <w:rFonts w:ascii="Times New Roman" w:hAnsi="Times New Roman"/>
                <w:b/>
                <w:sz w:val="24"/>
                <w:u w:val="single"/>
              </w:rPr>
              <w:t>CVA</w:t>
            </w:r>
            <w:proofErr w:type="spellEnd"/>
          </w:p>
          <w:p w14:paraId="25594EAC" w14:textId="4DA5F209"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 xml:space="preserve">Hodnota </w:t>
            </w:r>
            <w:r w:rsidRPr="00522E4F">
              <w:rPr>
                <w:rFonts w:ascii="Cambria Math" w:hAnsi="Cambria Math"/>
                <w:sz w:val="24"/>
              </w:rPr>
              <w:t>𝑚𝐶𝑉𝐴</w:t>
            </w:r>
            <w:r w:rsidRPr="00522E4F">
              <w:rPr>
                <w:rFonts w:ascii="Times New Roman" w:hAnsi="Times New Roman"/>
                <w:sz w:val="24"/>
              </w:rPr>
              <w:t xml:space="preserve"> = </w:t>
            </w:r>
            <w:proofErr w:type="spellStart"/>
            <w:r w:rsidRPr="00522E4F">
              <w:rPr>
                <w:rFonts w:ascii="Times New Roman" w:hAnsi="Times New Roman"/>
                <w:sz w:val="24"/>
              </w:rPr>
              <w:t>multiplikačný</w:t>
            </w:r>
            <w:proofErr w:type="spellEnd"/>
            <w:r w:rsidRPr="00522E4F">
              <w:rPr>
                <w:rFonts w:ascii="Times New Roman" w:hAnsi="Times New Roman"/>
                <w:sz w:val="24"/>
              </w:rPr>
              <w:t xml:space="preserve"> faktor</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383b ods. 8 nariadenia (EÚ) </w:t>
            </w:r>
            <w:r w:rsidR="00522E4F">
              <w:rPr>
                <w:rFonts w:ascii="Times New Roman" w:hAnsi="Times New Roman"/>
                <w:sz w:val="24"/>
              </w:rPr>
              <w:t>č. </w:t>
            </w:r>
            <w:r w:rsidRPr="00522E4F">
              <w:rPr>
                <w:rFonts w:ascii="Times New Roman" w:hAnsi="Times New Roman"/>
                <w:sz w:val="24"/>
              </w:rPr>
              <w:t>575/2013. Hodnota používaná pri výpočte požiadaviek na vlastné zdroje sa vykazuje (hodnota = 1 alebo hodnota zvýšená príslušnými orgánmi).</w:t>
            </w:r>
          </w:p>
        </w:tc>
      </w:tr>
      <w:tr w:rsidR="00680687" w:rsidRPr="00522E4F" w14:paraId="0FFB4692" w14:textId="77777777" w:rsidTr="006A3ADC">
        <w:tc>
          <w:tcPr>
            <w:tcW w:w="1172" w:type="dxa"/>
          </w:tcPr>
          <w:p w14:paraId="249BE219"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0270</w:t>
            </w:r>
          </w:p>
        </w:tc>
        <w:tc>
          <w:tcPr>
            <w:tcW w:w="7844" w:type="dxa"/>
          </w:tcPr>
          <w:p w14:paraId="0B3D9E18"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Požiadavky na vlastné zdroje</w:t>
            </w:r>
          </w:p>
          <w:p w14:paraId="55E6BD5C" w14:textId="124ADDA9"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Požiadavky na vlastné zdroje pre transakcie, na ktoré sa vzťahuje SA-CVA vypočítaný</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383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0F30E639" w14:textId="77777777" w:rsidTr="006A3ADC">
        <w:tc>
          <w:tcPr>
            <w:tcW w:w="1172" w:type="dxa"/>
          </w:tcPr>
          <w:p w14:paraId="35CF01D7"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lastRenderedPageBreak/>
              <w:t>0280</w:t>
            </w:r>
          </w:p>
        </w:tc>
        <w:tc>
          <w:tcPr>
            <w:tcW w:w="7844" w:type="dxa"/>
          </w:tcPr>
          <w:p w14:paraId="618674CA"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POŽIADAVKY NA CELKOVÉ VLASTNÉ ZDROJE</w:t>
            </w:r>
          </w:p>
          <w:p w14:paraId="47E288ED" w14:textId="218DF2CA" w:rsidR="00522E4F" w:rsidRDefault="00680687" w:rsidP="006A3ADC">
            <w:pPr>
              <w:rPr>
                <w:rFonts w:ascii="Times New Roman" w:hAnsi="Times New Roman"/>
                <w:sz w:val="24"/>
              </w:rPr>
            </w:pPr>
            <w:r w:rsidRPr="00522E4F">
              <w:rPr>
                <w:rFonts w:ascii="Times New Roman" w:hAnsi="Times New Roman"/>
                <w:sz w:val="24"/>
              </w:rPr>
              <w:t xml:space="preserve">Článok 92 ods. 4 písm. e) nariadenia (EÚ) </w:t>
            </w:r>
            <w:r w:rsidR="00522E4F">
              <w:rPr>
                <w:rFonts w:ascii="Times New Roman" w:hAnsi="Times New Roman"/>
                <w:sz w:val="24"/>
              </w:rPr>
              <w:t>č. </w:t>
            </w:r>
            <w:r w:rsidRPr="00522E4F">
              <w:rPr>
                <w:rFonts w:ascii="Times New Roman" w:hAnsi="Times New Roman"/>
                <w:sz w:val="24"/>
              </w:rPr>
              <w:t>575/2013</w:t>
            </w:r>
          </w:p>
          <w:p w14:paraId="424C965B" w14:textId="0FF87E18" w:rsidR="00680687" w:rsidRPr="00522E4F" w:rsidDel="00024DEA" w:rsidRDefault="00680687" w:rsidP="006A3ADC">
            <w:pPr>
              <w:rPr>
                <w:rFonts w:ascii="Times New Roman" w:hAnsi="Times New Roman"/>
                <w:b/>
                <w:sz w:val="24"/>
                <w:u w:val="single"/>
              </w:rPr>
            </w:pPr>
            <w:r w:rsidRPr="00522E4F">
              <w:rPr>
                <w:rFonts w:ascii="Times New Roman" w:hAnsi="Times New Roman"/>
                <w:sz w:val="24"/>
              </w:rPr>
              <w:t>Celkové požiadavky na vlastné zdroje pre riziko úpravy ocenenia pohľadávok vypočítaný pomocou akéhokoľvek</w:t>
            </w:r>
            <w:r w:rsidR="00522E4F">
              <w:rPr>
                <w:rFonts w:ascii="Times New Roman" w:hAnsi="Times New Roman"/>
                <w:sz w:val="24"/>
              </w:rPr>
              <w:t xml:space="preserve"> z </w:t>
            </w:r>
            <w:r w:rsidRPr="00522E4F">
              <w:rPr>
                <w:rFonts w:ascii="Times New Roman" w:hAnsi="Times New Roman"/>
                <w:sz w:val="24"/>
              </w:rPr>
              <w:t>uplatniteľných prístupov uvedených</w:t>
            </w:r>
            <w:r w:rsidR="00522E4F">
              <w:rPr>
                <w:rFonts w:ascii="Times New Roman" w:hAnsi="Times New Roman"/>
                <w:sz w:val="24"/>
              </w:rPr>
              <w:t xml:space="preserve"> v </w:t>
            </w:r>
            <w:r w:rsidRPr="00522E4F">
              <w:rPr>
                <w:rFonts w:ascii="Times New Roman" w:hAnsi="Times New Roman"/>
                <w:sz w:val="24"/>
              </w:rPr>
              <w:t xml:space="preserve">článku 382a nariadenia (EÚ) </w:t>
            </w:r>
            <w:r w:rsidR="00522E4F">
              <w:rPr>
                <w:rFonts w:ascii="Times New Roman" w:hAnsi="Times New Roman"/>
                <w:sz w:val="24"/>
              </w:rPr>
              <w:t>č. </w:t>
            </w:r>
            <w:r w:rsidRPr="00522E4F">
              <w:rPr>
                <w:rFonts w:ascii="Times New Roman" w:hAnsi="Times New Roman"/>
                <w:sz w:val="24"/>
              </w:rPr>
              <w:t>575/2013.  Ak sa používa viac ako jeden prístup, vykazuje sa jednoduchý súčet všetkých požiadaviek na vlastné zdroje každého prístupu.</w:t>
            </w:r>
          </w:p>
        </w:tc>
      </w:tr>
      <w:tr w:rsidR="00680687" w:rsidRPr="00522E4F" w14:paraId="460901D5" w14:textId="77777777" w:rsidTr="006A3ADC">
        <w:tc>
          <w:tcPr>
            <w:tcW w:w="1172" w:type="dxa"/>
          </w:tcPr>
          <w:p w14:paraId="61FCBEEB" w14:textId="77777777" w:rsidR="00680687" w:rsidRPr="00522E4F" w:rsidDel="00024DEA" w:rsidRDefault="00680687" w:rsidP="006A3ADC">
            <w:pPr>
              <w:rPr>
                <w:rFonts w:ascii="Times New Roman" w:hAnsi="Times New Roman"/>
                <w:sz w:val="24"/>
              </w:rPr>
            </w:pPr>
            <w:r w:rsidRPr="00522E4F">
              <w:rPr>
                <w:rFonts w:ascii="Times New Roman" w:hAnsi="Times New Roman"/>
                <w:sz w:val="24"/>
              </w:rPr>
              <w:t>0290</w:t>
            </w:r>
          </w:p>
        </w:tc>
        <w:tc>
          <w:tcPr>
            <w:tcW w:w="7844" w:type="dxa"/>
          </w:tcPr>
          <w:p w14:paraId="38352FA3"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CELKOVÉ HODNOTY RIZIKOVEJ EXPOZÍCIE</w:t>
            </w:r>
          </w:p>
          <w:p w14:paraId="6B715A20" w14:textId="5B7764B3" w:rsidR="00680687" w:rsidRPr="00522E4F" w:rsidRDefault="00680687" w:rsidP="006A3ADC">
            <w:pPr>
              <w:rPr>
                <w:rFonts w:ascii="Times New Roman" w:hAnsi="Times New Roman"/>
                <w:sz w:val="24"/>
              </w:rPr>
            </w:pPr>
            <w:r w:rsidRPr="00522E4F">
              <w:rPr>
                <w:rFonts w:ascii="Times New Roman" w:hAnsi="Times New Roman"/>
                <w:sz w:val="24"/>
              </w:rPr>
              <w:t xml:space="preserve">Článok 92 ods. 6 nariadenia (EÚ) </w:t>
            </w:r>
            <w:r w:rsidR="00522E4F">
              <w:rPr>
                <w:rFonts w:ascii="Times New Roman" w:hAnsi="Times New Roman"/>
                <w:sz w:val="24"/>
              </w:rPr>
              <w:t>č. </w:t>
            </w:r>
            <w:r w:rsidRPr="00522E4F">
              <w:rPr>
                <w:rFonts w:ascii="Times New Roman" w:hAnsi="Times New Roman"/>
                <w:sz w:val="24"/>
              </w:rPr>
              <w:t>575/2013</w:t>
            </w:r>
          </w:p>
          <w:p w14:paraId="769B7CA0" w14:textId="77777777" w:rsidR="00680687" w:rsidRPr="00522E4F" w:rsidDel="00024DEA" w:rsidRDefault="00680687" w:rsidP="006A3ADC">
            <w:pPr>
              <w:rPr>
                <w:rFonts w:ascii="Times New Roman" w:hAnsi="Times New Roman"/>
                <w:bCs/>
                <w:sz w:val="24"/>
              </w:rPr>
            </w:pPr>
            <w:r w:rsidRPr="00522E4F">
              <w:rPr>
                <w:rFonts w:ascii="Times New Roman" w:hAnsi="Times New Roman"/>
                <w:sz w:val="24"/>
              </w:rPr>
              <w:t>Požiadavka na vlastné zdroje vynásobená koeficientom 12,5.</w:t>
            </w:r>
          </w:p>
        </w:tc>
      </w:tr>
      <w:tr w:rsidR="00680687" w:rsidRPr="00522E4F" w14:paraId="00C49743" w14:textId="77777777" w:rsidTr="006A3ADC">
        <w:tc>
          <w:tcPr>
            <w:tcW w:w="9016" w:type="dxa"/>
            <w:gridSpan w:val="2"/>
            <w:tcBorders>
              <w:left w:val="nil"/>
              <w:right w:val="nil"/>
            </w:tcBorders>
            <w:shd w:val="clear" w:color="auto" w:fill="auto"/>
          </w:tcPr>
          <w:p w14:paraId="62981E05" w14:textId="77777777" w:rsidR="00680687" w:rsidRPr="00522E4F" w:rsidRDefault="00680687" w:rsidP="006A3ADC">
            <w:pPr>
              <w:rPr>
                <w:rFonts w:ascii="Times New Roman" w:hAnsi="Times New Roman"/>
                <w:b/>
                <w:sz w:val="24"/>
              </w:rPr>
            </w:pPr>
          </w:p>
        </w:tc>
      </w:tr>
      <w:tr w:rsidR="00680687" w:rsidRPr="00522E4F" w14:paraId="39581B57" w14:textId="77777777" w:rsidTr="006A3ADC">
        <w:tc>
          <w:tcPr>
            <w:tcW w:w="9016" w:type="dxa"/>
            <w:gridSpan w:val="2"/>
            <w:shd w:val="clear" w:color="auto" w:fill="CCCCCC"/>
          </w:tcPr>
          <w:p w14:paraId="10EB98F8" w14:textId="77777777" w:rsidR="00680687" w:rsidRPr="00522E4F" w:rsidRDefault="00680687" w:rsidP="006A3ADC">
            <w:pPr>
              <w:rPr>
                <w:rFonts w:ascii="Times New Roman" w:hAnsi="Times New Roman"/>
                <w:b/>
                <w:sz w:val="24"/>
              </w:rPr>
            </w:pPr>
            <w:r w:rsidRPr="00522E4F">
              <w:rPr>
                <w:rFonts w:ascii="Times New Roman" w:hAnsi="Times New Roman"/>
                <w:b/>
                <w:sz w:val="24"/>
              </w:rPr>
              <w:t>Riadky</w:t>
            </w:r>
          </w:p>
        </w:tc>
      </w:tr>
      <w:tr w:rsidR="00680687" w:rsidRPr="00522E4F" w14:paraId="7CF1BC60" w14:textId="77777777" w:rsidTr="006A3ADC">
        <w:tc>
          <w:tcPr>
            <w:tcW w:w="1172" w:type="dxa"/>
          </w:tcPr>
          <w:p w14:paraId="041DB542" w14:textId="77777777" w:rsidR="00680687" w:rsidRPr="00522E4F" w:rsidRDefault="00680687" w:rsidP="006A3ADC">
            <w:pPr>
              <w:rPr>
                <w:rFonts w:ascii="Times New Roman" w:hAnsi="Times New Roman"/>
                <w:sz w:val="24"/>
              </w:rPr>
            </w:pPr>
            <w:r w:rsidRPr="00522E4F">
              <w:rPr>
                <w:rFonts w:ascii="Times New Roman" w:hAnsi="Times New Roman"/>
                <w:sz w:val="24"/>
              </w:rPr>
              <w:t>0010</w:t>
            </w:r>
          </w:p>
        </w:tc>
        <w:tc>
          <w:tcPr>
            <w:tcW w:w="7844" w:type="dxa"/>
          </w:tcPr>
          <w:p w14:paraId="02BF5C47" w14:textId="416356D2"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w:t>
            </w:r>
            <w:r w:rsidR="00522E4F">
              <w:rPr>
                <w:rFonts w:ascii="Times New Roman" w:hAnsi="Times New Roman"/>
                <w:b/>
                <w:sz w:val="24"/>
                <w:u w:val="single"/>
              </w:rPr>
              <w:t xml:space="preserve"> v </w:t>
            </w:r>
            <w:r w:rsidRPr="00522E4F">
              <w:rPr>
                <w:rFonts w:ascii="Times New Roman" w:hAnsi="Times New Roman"/>
                <w:b/>
                <w:sz w:val="24"/>
                <w:u w:val="single"/>
              </w:rPr>
              <w:t>rozsahu pôsobnosti požiadavky na vlastné zdroje pre riziko úpravy ocenenia pohľadávok (CVA)</w:t>
            </w:r>
          </w:p>
          <w:p w14:paraId="0243C539" w14:textId="6DC2558B" w:rsidR="00680687" w:rsidRPr="00522E4F" w:rsidRDefault="00680687" w:rsidP="006A3ADC">
            <w:pPr>
              <w:rPr>
                <w:rFonts w:ascii="Times New Roman" w:hAnsi="Times New Roman"/>
                <w:sz w:val="24"/>
              </w:rPr>
            </w:pPr>
            <w:r w:rsidRPr="00522E4F">
              <w:rPr>
                <w:rFonts w:ascii="Times New Roman" w:hAnsi="Times New Roman"/>
                <w:sz w:val="24"/>
              </w:rPr>
              <w:t xml:space="preserve">Článok 382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5F63C9E" w14:textId="77777777" w:rsidTr="006A3ADC">
        <w:tc>
          <w:tcPr>
            <w:tcW w:w="1172" w:type="dxa"/>
          </w:tcPr>
          <w:p w14:paraId="60D4A734" w14:textId="77777777" w:rsidR="00680687" w:rsidRPr="00522E4F" w:rsidRDefault="00680687" w:rsidP="006A3ADC">
            <w:pPr>
              <w:rPr>
                <w:rFonts w:ascii="Times New Roman" w:hAnsi="Times New Roman"/>
                <w:sz w:val="24"/>
              </w:rPr>
            </w:pPr>
            <w:r w:rsidRPr="00522E4F">
              <w:rPr>
                <w:rFonts w:ascii="Times New Roman" w:hAnsi="Times New Roman"/>
                <w:sz w:val="24"/>
              </w:rPr>
              <w:t>0020</w:t>
            </w:r>
          </w:p>
        </w:tc>
        <w:tc>
          <w:tcPr>
            <w:tcW w:w="7844" w:type="dxa"/>
          </w:tcPr>
          <w:p w14:paraId="591F63A9"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Z čoho: len deriváty</w:t>
            </w:r>
          </w:p>
          <w:p w14:paraId="243F2835" w14:textId="0979913B" w:rsidR="00680687" w:rsidRPr="00522E4F" w:rsidRDefault="00680687" w:rsidP="006A3ADC">
            <w:pPr>
              <w:rPr>
                <w:rFonts w:ascii="Times New Roman" w:hAnsi="Times New Roman"/>
                <w:sz w:val="24"/>
              </w:rPr>
            </w:pPr>
            <w:r w:rsidRPr="00522E4F">
              <w:rPr>
                <w:rFonts w:ascii="Times New Roman" w:hAnsi="Times New Roman"/>
                <w:sz w:val="24"/>
              </w:rPr>
              <w:t>Deriváty</w:t>
            </w:r>
            <w:r w:rsidR="00522E4F">
              <w:rPr>
                <w:rFonts w:ascii="Times New Roman" w:hAnsi="Times New Roman"/>
                <w:sz w:val="24"/>
              </w:rPr>
              <w:t xml:space="preserve"> v </w:t>
            </w:r>
            <w:r w:rsidRPr="00522E4F">
              <w:rPr>
                <w:rFonts w:ascii="Times New Roman" w:hAnsi="Times New Roman"/>
                <w:sz w:val="24"/>
              </w:rPr>
              <w:t xml:space="preserve">rozsahu pôsobnosti článku 382 nariadenia (EÚ) </w:t>
            </w:r>
            <w:r w:rsidR="00522E4F">
              <w:rPr>
                <w:rFonts w:ascii="Times New Roman" w:hAnsi="Times New Roman"/>
                <w:sz w:val="24"/>
              </w:rPr>
              <w:t>č. </w:t>
            </w:r>
            <w:r w:rsidRPr="00522E4F">
              <w:rPr>
                <w:rFonts w:ascii="Times New Roman" w:hAnsi="Times New Roman"/>
                <w:sz w:val="24"/>
              </w:rPr>
              <w:t>575/2013 (t. j. všetky transakcie vykázané</w:t>
            </w:r>
            <w:r w:rsidR="00522E4F">
              <w:rPr>
                <w:rFonts w:ascii="Times New Roman" w:hAnsi="Times New Roman"/>
                <w:sz w:val="24"/>
              </w:rPr>
              <w:t xml:space="preserve"> v </w:t>
            </w:r>
            <w:r w:rsidRPr="00522E4F">
              <w:rPr>
                <w:rFonts w:ascii="Times New Roman" w:hAnsi="Times New Roman"/>
                <w:sz w:val="24"/>
              </w:rPr>
              <w:t>riadku 0010 okrem transakcií financovania prostredníctvom cenných papierov)</w:t>
            </w:r>
          </w:p>
        </w:tc>
      </w:tr>
      <w:tr w:rsidR="00680687" w:rsidRPr="00522E4F" w14:paraId="24634A77" w14:textId="77777777" w:rsidTr="006A3ADC">
        <w:tc>
          <w:tcPr>
            <w:tcW w:w="1172" w:type="dxa"/>
          </w:tcPr>
          <w:p w14:paraId="72803830" w14:textId="77777777" w:rsidR="00680687" w:rsidRPr="00522E4F" w:rsidRDefault="00680687" w:rsidP="006A3ADC">
            <w:pPr>
              <w:rPr>
                <w:rFonts w:ascii="Times New Roman" w:hAnsi="Times New Roman"/>
                <w:sz w:val="24"/>
              </w:rPr>
            </w:pPr>
            <w:r w:rsidRPr="00522E4F">
              <w:rPr>
                <w:rFonts w:ascii="Times New Roman" w:hAnsi="Times New Roman"/>
                <w:sz w:val="24"/>
              </w:rPr>
              <w:t>0030</w:t>
            </w:r>
          </w:p>
        </w:tc>
        <w:tc>
          <w:tcPr>
            <w:tcW w:w="7844" w:type="dxa"/>
          </w:tcPr>
          <w:p w14:paraId="3BF86B85"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Z čoho:  inak vyňaté transakcie, ktoré sa inštitúcie rozhodnú opätovne začleniť do výpočtu požiadaviek na vlastné zdroje</w:t>
            </w:r>
          </w:p>
          <w:p w14:paraId="44419E50" w14:textId="0582C5DC" w:rsidR="00680687" w:rsidRPr="00522E4F" w:rsidRDefault="00680687" w:rsidP="006A3ADC">
            <w:pPr>
              <w:rPr>
                <w:rFonts w:ascii="Times New Roman" w:hAnsi="Times New Roman"/>
                <w:sz w:val="24"/>
              </w:rPr>
            </w:pPr>
            <w:r w:rsidRPr="00522E4F">
              <w:rPr>
                <w:rFonts w:ascii="Times New Roman" w:hAnsi="Times New Roman"/>
                <w:sz w:val="24"/>
              </w:rPr>
              <w:t xml:space="preserve">Článok 382 ods. 4a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2AF23E14" w14:textId="77777777" w:rsidTr="006A3ADC">
        <w:tc>
          <w:tcPr>
            <w:tcW w:w="1172" w:type="dxa"/>
          </w:tcPr>
          <w:p w14:paraId="102C842F" w14:textId="77777777" w:rsidR="00680687" w:rsidRPr="00522E4F" w:rsidRDefault="00680687" w:rsidP="006A3ADC">
            <w:pPr>
              <w:rPr>
                <w:rFonts w:ascii="Times New Roman" w:hAnsi="Times New Roman"/>
                <w:sz w:val="24"/>
              </w:rPr>
            </w:pPr>
            <w:r w:rsidRPr="00522E4F">
              <w:rPr>
                <w:rFonts w:ascii="Times New Roman" w:hAnsi="Times New Roman"/>
                <w:sz w:val="24"/>
              </w:rPr>
              <w:t>0040 – 0220</w:t>
            </w:r>
          </w:p>
        </w:tc>
        <w:tc>
          <w:tcPr>
            <w:tcW w:w="7844" w:type="dxa"/>
          </w:tcPr>
          <w:p w14:paraId="16D7C775" w14:textId="77777777" w:rsidR="00680687" w:rsidRPr="00522E4F" w:rsidRDefault="00680687" w:rsidP="006A3ADC">
            <w:pPr>
              <w:rPr>
                <w:rFonts w:ascii="Times New Roman" w:hAnsi="Times New Roman"/>
                <w:b/>
                <w:bCs/>
                <w:caps/>
                <w:sz w:val="24"/>
                <w:u w:val="single"/>
              </w:rPr>
            </w:pPr>
            <w:r w:rsidRPr="00522E4F">
              <w:rPr>
                <w:rFonts w:ascii="Times New Roman" w:hAnsi="Times New Roman"/>
                <w:b/>
                <w:caps/>
                <w:sz w:val="24"/>
                <w:u w:val="single"/>
              </w:rPr>
              <w:t>DOPLŇUJÚCE POLOŽKY</w:t>
            </w:r>
          </w:p>
          <w:p w14:paraId="6F0B98CF" w14:textId="77777777" w:rsidR="00680687" w:rsidRPr="00522E4F" w:rsidRDefault="00680687" w:rsidP="006A3ADC">
            <w:pPr>
              <w:rPr>
                <w:rFonts w:ascii="Times New Roman" w:hAnsi="Times New Roman"/>
                <w:sz w:val="24"/>
              </w:rPr>
            </w:pPr>
          </w:p>
        </w:tc>
      </w:tr>
      <w:tr w:rsidR="00680687" w:rsidRPr="00522E4F" w14:paraId="6AD4731B" w14:textId="77777777" w:rsidTr="006A3ADC">
        <w:tc>
          <w:tcPr>
            <w:tcW w:w="1172" w:type="dxa"/>
          </w:tcPr>
          <w:p w14:paraId="2A4448ED" w14:textId="77777777" w:rsidR="00680687" w:rsidRPr="00522E4F" w:rsidRDefault="00680687" w:rsidP="006A3ADC">
            <w:pPr>
              <w:rPr>
                <w:rFonts w:ascii="Times New Roman" w:hAnsi="Times New Roman"/>
                <w:sz w:val="24"/>
              </w:rPr>
            </w:pPr>
            <w:r w:rsidRPr="00522E4F">
              <w:rPr>
                <w:rFonts w:ascii="Times New Roman" w:hAnsi="Times New Roman"/>
                <w:sz w:val="24"/>
              </w:rPr>
              <w:t>0040 – 0110</w:t>
            </w:r>
          </w:p>
        </w:tc>
        <w:tc>
          <w:tcPr>
            <w:tcW w:w="7844" w:type="dxa"/>
          </w:tcPr>
          <w:p w14:paraId="18AE86C3"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Výnimky týkajúce sa rizika CVA: okrajový vplyv opätovného začlenenia</w:t>
            </w:r>
          </w:p>
          <w:p w14:paraId="7A74B86F" w14:textId="1EFEA687" w:rsidR="00680687" w:rsidRPr="00522E4F" w:rsidRDefault="00680687" w:rsidP="006A3ADC">
            <w:pPr>
              <w:rPr>
                <w:rFonts w:ascii="Times New Roman" w:hAnsi="Times New Roman"/>
                <w:sz w:val="24"/>
              </w:rPr>
            </w:pPr>
            <w:r w:rsidRPr="00522E4F">
              <w:rPr>
                <w:rFonts w:ascii="Times New Roman" w:hAnsi="Times New Roman"/>
                <w:sz w:val="24"/>
              </w:rPr>
              <w:t>Okrajový vplyv opätovného začlenenia výnimiek týkajúcich sa rizika CVA</w:t>
            </w:r>
            <w:r w:rsidR="00522E4F">
              <w:rPr>
                <w:rFonts w:ascii="Times New Roman" w:hAnsi="Times New Roman"/>
                <w:sz w:val="24"/>
              </w:rPr>
              <w:t xml:space="preserve"> v </w:t>
            </w:r>
            <w:r w:rsidRPr="00522E4F">
              <w:rPr>
                <w:rFonts w:ascii="Times New Roman" w:hAnsi="Times New Roman"/>
                <w:sz w:val="24"/>
              </w:rPr>
              <w:t>zmysle vymedzenia</w:t>
            </w:r>
            <w:r w:rsidR="00522E4F">
              <w:rPr>
                <w:rFonts w:ascii="Times New Roman" w:hAnsi="Times New Roman"/>
                <w:sz w:val="24"/>
              </w:rPr>
              <w:t xml:space="preserve"> v </w:t>
            </w:r>
            <w:r w:rsidRPr="00522E4F">
              <w:rPr>
                <w:rFonts w:ascii="Times New Roman" w:hAnsi="Times New Roman"/>
                <w:sz w:val="24"/>
              </w:rPr>
              <w:t>článku 382 ods. 3</w:t>
            </w:r>
            <w:r w:rsidR="00522E4F">
              <w:rPr>
                <w:rFonts w:ascii="Times New Roman" w:hAnsi="Times New Roman"/>
                <w:sz w:val="24"/>
              </w:rPr>
              <w:t xml:space="preserve"> a </w:t>
            </w:r>
            <w:r w:rsidRPr="00522E4F">
              <w:rPr>
                <w:rFonts w:ascii="Times New Roman" w:hAnsi="Times New Roman"/>
                <w:sz w:val="24"/>
              </w:rPr>
              <w:t xml:space="preserve">4 nariadenia (EÚ) </w:t>
            </w:r>
            <w:r w:rsidR="00522E4F">
              <w:rPr>
                <w:rFonts w:ascii="Times New Roman" w:hAnsi="Times New Roman"/>
                <w:sz w:val="24"/>
              </w:rPr>
              <w:t>č. </w:t>
            </w:r>
            <w:r w:rsidRPr="00522E4F">
              <w:rPr>
                <w:rFonts w:ascii="Times New Roman" w:hAnsi="Times New Roman"/>
                <w:sz w:val="24"/>
              </w:rPr>
              <w:t>575/2013, samostatne pre každú výnimku. Okrajový vplyv je rozdiel vyjadrený</w:t>
            </w:r>
            <w:r w:rsidR="00522E4F">
              <w:rPr>
                <w:rFonts w:ascii="Times New Roman" w:hAnsi="Times New Roman"/>
                <w:sz w:val="24"/>
              </w:rPr>
              <w:t xml:space="preserve"> v </w:t>
            </w:r>
            <w:r w:rsidRPr="00522E4F">
              <w:rPr>
                <w:rFonts w:ascii="Times New Roman" w:hAnsi="Times New Roman"/>
                <w:sz w:val="24"/>
              </w:rPr>
              <w:t>absolútnej hodnote medzi príslušným ukazovateľom pre rozsah transakcií uvedených</w:t>
            </w:r>
            <w:r w:rsidR="00522E4F">
              <w:rPr>
                <w:rFonts w:ascii="Times New Roman" w:hAnsi="Times New Roman"/>
                <w:sz w:val="24"/>
              </w:rPr>
              <w:t xml:space="preserve"> v </w:t>
            </w:r>
            <w:r w:rsidRPr="00522E4F">
              <w:rPr>
                <w:rFonts w:ascii="Times New Roman" w:hAnsi="Times New Roman"/>
                <w:sz w:val="24"/>
              </w:rPr>
              <w:t>riadku 0010 po opätovnom začlenení výnimky</w:t>
            </w:r>
            <w:r w:rsidR="00522E4F">
              <w:rPr>
                <w:rFonts w:ascii="Times New Roman" w:hAnsi="Times New Roman"/>
                <w:sz w:val="24"/>
              </w:rPr>
              <w:t xml:space="preserve"> a </w:t>
            </w:r>
            <w:r w:rsidRPr="00522E4F">
              <w:rPr>
                <w:rFonts w:ascii="Times New Roman" w:hAnsi="Times New Roman"/>
                <w:sz w:val="24"/>
              </w:rPr>
              <w:t>príslušným ukazovateľom pre rozsah transakcií uvedených</w:t>
            </w:r>
            <w:r w:rsidR="00522E4F">
              <w:rPr>
                <w:rFonts w:ascii="Times New Roman" w:hAnsi="Times New Roman"/>
                <w:sz w:val="24"/>
              </w:rPr>
              <w:t xml:space="preserve"> v </w:t>
            </w:r>
            <w:r w:rsidRPr="00522E4F">
              <w:rPr>
                <w:rFonts w:ascii="Times New Roman" w:hAnsi="Times New Roman"/>
                <w:sz w:val="24"/>
              </w:rPr>
              <w:t xml:space="preserve">riadku 0010. </w:t>
            </w:r>
            <w:r w:rsidRPr="00522E4F">
              <w:t xml:space="preserve"> </w:t>
            </w:r>
          </w:p>
        </w:tc>
      </w:tr>
      <w:tr w:rsidR="00680687" w:rsidRPr="00522E4F" w14:paraId="4ED84249" w14:textId="77777777" w:rsidTr="006A3ADC">
        <w:tc>
          <w:tcPr>
            <w:tcW w:w="1172" w:type="dxa"/>
          </w:tcPr>
          <w:p w14:paraId="7350CB84" w14:textId="77777777" w:rsidR="00680687" w:rsidRPr="00522E4F" w:rsidRDefault="00680687" w:rsidP="006A3ADC">
            <w:pPr>
              <w:rPr>
                <w:rFonts w:ascii="Times New Roman" w:hAnsi="Times New Roman"/>
                <w:sz w:val="24"/>
              </w:rPr>
            </w:pPr>
            <w:r w:rsidRPr="00522E4F">
              <w:rPr>
                <w:rFonts w:ascii="Times New Roman" w:hAnsi="Times New Roman"/>
                <w:sz w:val="24"/>
              </w:rPr>
              <w:t>0040</w:t>
            </w:r>
          </w:p>
        </w:tc>
        <w:tc>
          <w:tcPr>
            <w:tcW w:w="7844" w:type="dxa"/>
          </w:tcPr>
          <w:p w14:paraId="7D9C78C4"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Všetky vyňaté transakcie</w:t>
            </w:r>
          </w:p>
          <w:p w14:paraId="59CC8678" w14:textId="0B4B1C16" w:rsidR="00522E4F" w:rsidRDefault="00680687" w:rsidP="006A3ADC">
            <w:pPr>
              <w:pStyle w:val="Default"/>
              <w:jc w:val="both"/>
              <w:rPr>
                <w:rFonts w:ascii="Times New Roman" w:hAnsi="Times New Roman"/>
              </w:rPr>
            </w:pPr>
            <w:r w:rsidRPr="00522E4F">
              <w:rPr>
                <w:rFonts w:ascii="Times New Roman" w:hAnsi="Times New Roman"/>
              </w:rPr>
              <w:t>Okrajový vplyv opätovného začlenenia všetkých výnimiek týkajúcich sa rizika CVA</w:t>
            </w:r>
            <w:r w:rsidR="00522E4F">
              <w:rPr>
                <w:rFonts w:ascii="Times New Roman" w:hAnsi="Times New Roman"/>
              </w:rPr>
              <w:t xml:space="preserve"> v </w:t>
            </w:r>
            <w:r w:rsidRPr="00522E4F">
              <w:rPr>
                <w:rFonts w:ascii="Times New Roman" w:hAnsi="Times New Roman"/>
              </w:rPr>
              <w:t>zmysle vymedzenia</w:t>
            </w:r>
            <w:r w:rsidR="00522E4F">
              <w:rPr>
                <w:rFonts w:ascii="Times New Roman" w:hAnsi="Times New Roman"/>
              </w:rPr>
              <w:t xml:space="preserve"> v </w:t>
            </w:r>
            <w:r w:rsidRPr="00522E4F">
              <w:rPr>
                <w:rFonts w:ascii="Times New Roman" w:hAnsi="Times New Roman"/>
              </w:rPr>
              <w:t>článku 382 ods. 3</w:t>
            </w:r>
            <w:r w:rsidR="00522E4F">
              <w:rPr>
                <w:rFonts w:ascii="Times New Roman" w:hAnsi="Times New Roman"/>
              </w:rPr>
              <w:t xml:space="preserve"> a </w:t>
            </w:r>
            <w:r w:rsidRPr="00522E4F">
              <w:rPr>
                <w:rFonts w:ascii="Times New Roman" w:hAnsi="Times New Roman"/>
              </w:rPr>
              <w:t xml:space="preserve">4 nariadenia (EÚ) </w:t>
            </w:r>
            <w:r w:rsidR="00522E4F">
              <w:rPr>
                <w:rFonts w:ascii="Times New Roman" w:hAnsi="Times New Roman"/>
              </w:rPr>
              <w:t>č. </w:t>
            </w:r>
            <w:r w:rsidRPr="00522E4F">
              <w:rPr>
                <w:rFonts w:ascii="Times New Roman" w:hAnsi="Times New Roman"/>
              </w:rPr>
              <w:t>575/2013</w:t>
            </w:r>
            <w:r w:rsidR="00522E4F">
              <w:rPr>
                <w:rFonts w:ascii="Times New Roman" w:hAnsi="Times New Roman"/>
              </w:rPr>
              <w:t>.</w:t>
            </w:r>
          </w:p>
          <w:p w14:paraId="6F8EA837" w14:textId="0422DB24" w:rsidR="00680687" w:rsidRPr="00522E4F" w:rsidRDefault="00680687" w:rsidP="006A3ADC">
            <w:pPr>
              <w:pStyle w:val="Default"/>
              <w:rPr>
                <w:rFonts w:ascii="Times New Roman" w:hAnsi="Times New Roman"/>
              </w:rPr>
            </w:pPr>
            <w:r w:rsidRPr="00522E4F">
              <w:rPr>
                <w:rFonts w:ascii="Times New Roman" w:hAnsi="Times New Roman"/>
              </w:rPr>
              <w:t>Rozsah transakcií by mal pozostávať zo všetkých transakcií uvedených</w:t>
            </w:r>
            <w:r w:rsidR="00522E4F">
              <w:rPr>
                <w:rFonts w:ascii="Times New Roman" w:hAnsi="Times New Roman"/>
              </w:rPr>
              <w:t xml:space="preserve"> v </w:t>
            </w:r>
            <w:r w:rsidRPr="00522E4F">
              <w:rPr>
                <w:rFonts w:ascii="Times New Roman" w:hAnsi="Times New Roman"/>
              </w:rPr>
              <w:t>riadku 0010, pričom sa neberie ohľad na výnimky uvedené</w:t>
            </w:r>
            <w:r w:rsidR="00522E4F">
              <w:rPr>
                <w:rFonts w:ascii="Times New Roman" w:hAnsi="Times New Roman"/>
              </w:rPr>
              <w:t xml:space="preserve"> v </w:t>
            </w:r>
            <w:r w:rsidRPr="00522E4F">
              <w:rPr>
                <w:rFonts w:ascii="Times New Roman" w:hAnsi="Times New Roman"/>
              </w:rPr>
              <w:t xml:space="preserve">článku 382 </w:t>
            </w:r>
            <w:r w:rsidRPr="00522E4F">
              <w:rPr>
                <w:rFonts w:ascii="Times New Roman" w:hAnsi="Times New Roman"/>
              </w:rPr>
              <w:lastRenderedPageBreak/>
              <w:t>ods. 3</w:t>
            </w:r>
            <w:r w:rsidR="00522E4F">
              <w:rPr>
                <w:rFonts w:ascii="Times New Roman" w:hAnsi="Times New Roman"/>
              </w:rPr>
              <w:t xml:space="preserve"> a </w:t>
            </w:r>
            <w:r w:rsidRPr="00522E4F">
              <w:rPr>
                <w:rFonts w:ascii="Times New Roman" w:hAnsi="Times New Roman"/>
              </w:rPr>
              <w:t xml:space="preserve">článku 382 ods. 4 nariadenia (EÚ) </w:t>
            </w:r>
            <w:r w:rsidR="00522E4F">
              <w:rPr>
                <w:rFonts w:ascii="Times New Roman" w:hAnsi="Times New Roman"/>
              </w:rPr>
              <w:t>č. </w:t>
            </w:r>
            <w:r w:rsidRPr="00522E4F">
              <w:rPr>
                <w:rFonts w:ascii="Times New Roman" w:hAnsi="Times New Roman"/>
              </w:rPr>
              <w:t>575/2013.</w:t>
            </w:r>
            <w:r w:rsidRPr="00522E4F">
              <w:rPr>
                <w:rFonts w:ascii="Times New Roman" w:hAnsi="Times New Roman"/>
                <w:color w:val="auto"/>
              </w:rPr>
              <w:t xml:space="preserve"> Konkrétne, uvedené transakcie, ktoré sú momentálne vylúčené</w:t>
            </w:r>
            <w:r w:rsidR="00522E4F">
              <w:rPr>
                <w:rFonts w:ascii="Times New Roman" w:hAnsi="Times New Roman"/>
                <w:color w:val="auto"/>
              </w:rPr>
              <w:t xml:space="preserve"> z </w:t>
            </w:r>
            <w:r w:rsidRPr="00522E4F">
              <w:rPr>
                <w:rFonts w:ascii="Times New Roman" w:hAnsi="Times New Roman"/>
                <w:color w:val="auto"/>
              </w:rPr>
              <w:t xml:space="preserve">výpočtu kapitálových požiadaviek pre úpravy ocenenia pohľadávok podľa týchto článkov, by sa mali opätovne začleniť do tohto riadku. Celkové transakcie, ktoré sú opätovne začlenené na účely tohto riadku, sú transakcie, ktoré sú opätovne začlenené na účely riadkov 0050 až 0110. </w:t>
            </w:r>
          </w:p>
        </w:tc>
      </w:tr>
      <w:tr w:rsidR="00680687" w:rsidRPr="00522E4F" w14:paraId="23ECB2C1" w14:textId="77777777" w:rsidTr="006A3ADC">
        <w:tc>
          <w:tcPr>
            <w:tcW w:w="1172" w:type="dxa"/>
          </w:tcPr>
          <w:p w14:paraId="5973D18B" w14:textId="77777777" w:rsidR="00680687" w:rsidRPr="00522E4F" w:rsidRDefault="00680687" w:rsidP="006A3ADC">
            <w:pPr>
              <w:rPr>
                <w:rFonts w:ascii="Times New Roman" w:hAnsi="Times New Roman"/>
                <w:sz w:val="24"/>
              </w:rPr>
            </w:pPr>
            <w:r w:rsidRPr="00522E4F">
              <w:rPr>
                <w:rFonts w:ascii="Times New Roman" w:hAnsi="Times New Roman"/>
                <w:sz w:val="24"/>
              </w:rPr>
              <w:lastRenderedPageBreak/>
              <w:t>0050</w:t>
            </w:r>
          </w:p>
        </w:tc>
        <w:tc>
          <w:tcPr>
            <w:tcW w:w="7844" w:type="dxa"/>
          </w:tcPr>
          <w:p w14:paraId="4B3AB855" w14:textId="77777777" w:rsidR="00680687" w:rsidRPr="00522E4F" w:rsidRDefault="00680687" w:rsidP="006A3ADC">
            <w:pPr>
              <w:pStyle w:val="Default"/>
              <w:jc w:val="both"/>
              <w:rPr>
                <w:rFonts w:ascii="Times New Roman" w:eastAsia="Times New Roman" w:hAnsi="Times New Roman" w:cs="Times New Roman"/>
                <w:b/>
                <w:bCs/>
                <w:color w:val="auto"/>
                <w:u w:val="single"/>
              </w:rPr>
            </w:pPr>
            <w:r w:rsidRPr="00522E4F">
              <w:rPr>
                <w:rFonts w:ascii="Times New Roman" w:hAnsi="Times New Roman"/>
                <w:b/>
                <w:color w:val="auto"/>
                <w:u w:val="single"/>
              </w:rPr>
              <w:t>Transakcie klienta</w:t>
            </w:r>
          </w:p>
          <w:p w14:paraId="26BE71DE" w14:textId="0248CDA1" w:rsidR="00680687" w:rsidRPr="00522E4F" w:rsidRDefault="00680687" w:rsidP="006A3ADC">
            <w:pPr>
              <w:pStyle w:val="Default"/>
              <w:jc w:val="both"/>
              <w:rPr>
                <w:rFonts w:ascii="Times New Roman" w:hAnsi="Times New Roman"/>
              </w:rPr>
            </w:pPr>
            <w:r w:rsidRPr="00522E4F">
              <w:rPr>
                <w:rFonts w:ascii="Times New Roman" w:hAnsi="Times New Roman"/>
              </w:rPr>
              <w:t>Okrajový vplyv opätovného začlenenia transakcií klienta</w:t>
            </w:r>
            <w:r w:rsidR="00522E4F">
              <w:rPr>
                <w:rFonts w:ascii="Times New Roman" w:hAnsi="Times New Roman"/>
              </w:rPr>
              <w:t xml:space="preserve"> v </w:t>
            </w:r>
            <w:r w:rsidRPr="00522E4F">
              <w:rPr>
                <w:rFonts w:ascii="Times New Roman" w:hAnsi="Times New Roman"/>
              </w:rPr>
              <w:t>zmysle vymedzenia</w:t>
            </w:r>
            <w:r w:rsidR="00522E4F">
              <w:rPr>
                <w:rFonts w:ascii="Times New Roman" w:hAnsi="Times New Roman"/>
              </w:rPr>
              <w:t xml:space="preserve"> v </w:t>
            </w:r>
            <w:r w:rsidRPr="00522E4F">
              <w:rPr>
                <w:rFonts w:ascii="Times New Roman" w:hAnsi="Times New Roman"/>
              </w:rPr>
              <w:t xml:space="preserve">článku 382 ods. 3 nariadenia (EÚ) </w:t>
            </w:r>
            <w:r w:rsidR="00522E4F">
              <w:rPr>
                <w:rFonts w:ascii="Times New Roman" w:hAnsi="Times New Roman"/>
              </w:rPr>
              <w:t>č. </w:t>
            </w:r>
            <w:r w:rsidRPr="00522E4F">
              <w:rPr>
                <w:rFonts w:ascii="Times New Roman" w:hAnsi="Times New Roman"/>
              </w:rPr>
              <w:t>575/2013.</w:t>
            </w:r>
          </w:p>
          <w:p w14:paraId="73231515" w14:textId="6D7D44DC" w:rsidR="00680687" w:rsidRPr="00522E4F" w:rsidRDefault="00680687" w:rsidP="006A3ADC">
            <w:pPr>
              <w:pStyle w:val="Default"/>
              <w:rPr>
                <w:sz w:val="20"/>
                <w:szCs w:val="20"/>
              </w:rPr>
            </w:pPr>
            <w:r w:rsidRPr="00522E4F">
              <w:rPr>
                <w:rFonts w:ascii="Times New Roman" w:hAnsi="Times New Roman"/>
              </w:rPr>
              <w:t>Okrajový vplyv opätovného začlenenia transakcií medzi klientom</w:t>
            </w:r>
            <w:r w:rsidR="00522E4F">
              <w:rPr>
                <w:rFonts w:ascii="Times New Roman" w:hAnsi="Times New Roman"/>
              </w:rPr>
              <w:t xml:space="preserve"> a </w:t>
            </w:r>
            <w:r w:rsidRPr="00522E4F">
              <w:rPr>
                <w:rFonts w:ascii="Times New Roman" w:hAnsi="Times New Roman"/>
              </w:rPr>
              <w:t>zúčtovacím členom, ak zúčtovací člen koná ako sprostredkovateľ medzi klientom</w:t>
            </w:r>
            <w:r w:rsidR="00522E4F">
              <w:rPr>
                <w:rFonts w:ascii="Times New Roman" w:hAnsi="Times New Roman"/>
              </w:rPr>
              <w:t xml:space="preserve"> a </w:t>
            </w:r>
            <w:r w:rsidRPr="00522E4F">
              <w:rPr>
                <w:rFonts w:ascii="Times New Roman" w:hAnsi="Times New Roman"/>
              </w:rPr>
              <w:t xml:space="preserve">kvalifikovanou centrálnou protistranou, ktoré sú vyňaté podľa článku 382 ods. 3 nariadenia (EÚ) </w:t>
            </w:r>
            <w:r w:rsidR="00522E4F">
              <w:rPr>
                <w:rFonts w:ascii="Times New Roman" w:hAnsi="Times New Roman"/>
              </w:rPr>
              <w:t>č. </w:t>
            </w:r>
            <w:r w:rsidRPr="00522E4F">
              <w:rPr>
                <w:rFonts w:ascii="Times New Roman" w:hAnsi="Times New Roman"/>
              </w:rPr>
              <w:t>575/2013</w:t>
            </w:r>
            <w:r w:rsidR="00522E4F">
              <w:rPr>
                <w:rFonts w:ascii="Times New Roman" w:hAnsi="Times New Roman"/>
              </w:rPr>
              <w:t xml:space="preserve"> z </w:t>
            </w:r>
            <w:r w:rsidRPr="00522E4F">
              <w:rPr>
                <w:rFonts w:ascii="Times New Roman" w:hAnsi="Times New Roman"/>
              </w:rPr>
              <w:t>rozsahu riadku 0010. Klient by nemal opätovne začleniť uvedené transakcie, ak transakcie spĺňajú požiadavky</w:t>
            </w:r>
            <w:r w:rsidR="00522E4F">
              <w:rPr>
                <w:rFonts w:ascii="Times New Roman" w:hAnsi="Times New Roman"/>
              </w:rPr>
              <w:t xml:space="preserve"> v </w:t>
            </w:r>
            <w:r w:rsidRPr="00522E4F">
              <w:rPr>
                <w:rFonts w:ascii="Times New Roman" w:hAnsi="Times New Roman"/>
              </w:rPr>
              <w:t>článku 305 ods. 2, 3</w:t>
            </w:r>
            <w:r w:rsidR="00522E4F">
              <w:rPr>
                <w:rFonts w:ascii="Times New Roman" w:hAnsi="Times New Roman"/>
              </w:rPr>
              <w:t xml:space="preserve"> a </w:t>
            </w:r>
            <w:r w:rsidRPr="00522E4F">
              <w:rPr>
                <w:rFonts w:ascii="Times New Roman" w:hAnsi="Times New Roman"/>
              </w:rPr>
              <w:t xml:space="preserve">4 uvedeného nariadenia. </w:t>
            </w:r>
          </w:p>
        </w:tc>
      </w:tr>
      <w:tr w:rsidR="00680687" w:rsidRPr="00522E4F" w14:paraId="08AD2EE8" w14:textId="77777777" w:rsidTr="006A3ADC">
        <w:tc>
          <w:tcPr>
            <w:tcW w:w="1172" w:type="dxa"/>
          </w:tcPr>
          <w:p w14:paraId="4A924DC9" w14:textId="77777777" w:rsidR="00680687" w:rsidRPr="00522E4F" w:rsidRDefault="00680687" w:rsidP="006A3ADC">
            <w:pPr>
              <w:rPr>
                <w:rFonts w:ascii="Times New Roman" w:hAnsi="Times New Roman"/>
                <w:sz w:val="24"/>
              </w:rPr>
            </w:pPr>
            <w:r w:rsidRPr="00522E4F">
              <w:rPr>
                <w:rFonts w:ascii="Times New Roman" w:hAnsi="Times New Roman"/>
                <w:sz w:val="24"/>
              </w:rPr>
              <w:t>0060</w:t>
            </w:r>
          </w:p>
        </w:tc>
        <w:tc>
          <w:tcPr>
            <w:tcW w:w="7844" w:type="dxa"/>
          </w:tcPr>
          <w:p w14:paraId="69BEF048" w14:textId="51F14C56"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w:t>
            </w:r>
            <w:r w:rsidR="00522E4F">
              <w:rPr>
                <w:rFonts w:ascii="Times New Roman" w:hAnsi="Times New Roman"/>
                <w:b/>
                <w:sz w:val="24"/>
                <w:u w:val="single"/>
              </w:rPr>
              <w:t xml:space="preserve"> s </w:t>
            </w:r>
            <w:r w:rsidRPr="00522E4F">
              <w:rPr>
                <w:rFonts w:ascii="Times New Roman" w:hAnsi="Times New Roman"/>
                <w:b/>
                <w:sz w:val="24"/>
                <w:u w:val="single"/>
              </w:rPr>
              <w:t>nefinančnými protistranami</w:t>
            </w:r>
          </w:p>
          <w:p w14:paraId="5D14F94F" w14:textId="775A9076" w:rsidR="00680687" w:rsidRPr="00522E4F" w:rsidRDefault="00680687" w:rsidP="006A3ADC">
            <w:pPr>
              <w:rPr>
                <w:rFonts w:ascii="Times New Roman" w:hAnsi="Times New Roman"/>
                <w:sz w:val="24"/>
              </w:rPr>
            </w:pPr>
            <w:r w:rsidRPr="00522E4F">
              <w:rPr>
                <w:rFonts w:ascii="Times New Roman" w:hAnsi="Times New Roman"/>
              </w:rPr>
              <w:t>Okrajový vplyv opätovného začlenenia transakcií</w:t>
            </w:r>
            <w:r w:rsidR="00522E4F">
              <w:rPr>
                <w:rFonts w:ascii="Times New Roman" w:hAnsi="Times New Roman"/>
              </w:rPr>
              <w:t xml:space="preserve"> s </w:t>
            </w:r>
            <w:r w:rsidRPr="00522E4F">
              <w:rPr>
                <w:rFonts w:ascii="Times New Roman" w:hAnsi="Times New Roman"/>
              </w:rPr>
              <w:t>nefinančnými protistranami</w:t>
            </w:r>
            <w:r w:rsidR="00522E4F">
              <w:rPr>
                <w:rFonts w:ascii="Times New Roman" w:hAnsi="Times New Roman"/>
              </w:rPr>
              <w:t xml:space="preserve"> v </w:t>
            </w:r>
            <w:r w:rsidRPr="00522E4F">
              <w:rPr>
                <w:rFonts w:ascii="Times New Roman" w:hAnsi="Times New Roman"/>
              </w:rPr>
              <w:t>zmysle vymedzenia</w:t>
            </w:r>
            <w:r w:rsidR="00522E4F">
              <w:rPr>
                <w:rFonts w:ascii="Times New Roman" w:hAnsi="Times New Roman"/>
              </w:rPr>
              <w:t xml:space="preserve"> v </w:t>
            </w:r>
            <w:r w:rsidRPr="00522E4F">
              <w:rPr>
                <w:rFonts w:ascii="Times New Roman" w:hAnsi="Times New Roman"/>
              </w:rPr>
              <w:t xml:space="preserve">článku 382 ods. 4 písm. a) nariadenia (EÚ) </w:t>
            </w:r>
            <w:r w:rsidR="00522E4F">
              <w:rPr>
                <w:rFonts w:ascii="Times New Roman" w:hAnsi="Times New Roman"/>
              </w:rPr>
              <w:t>č. </w:t>
            </w:r>
            <w:r w:rsidRPr="00522E4F">
              <w:rPr>
                <w:rFonts w:ascii="Times New Roman" w:hAnsi="Times New Roman"/>
              </w:rPr>
              <w:t>575/2013</w:t>
            </w:r>
          </w:p>
        </w:tc>
      </w:tr>
      <w:tr w:rsidR="00680687" w:rsidRPr="00522E4F" w14:paraId="0299633B" w14:textId="77777777" w:rsidTr="006A3ADC">
        <w:tc>
          <w:tcPr>
            <w:tcW w:w="1172" w:type="dxa"/>
          </w:tcPr>
          <w:p w14:paraId="76ED40A3" w14:textId="77777777" w:rsidR="00680687" w:rsidRPr="00522E4F" w:rsidRDefault="00680687" w:rsidP="006A3ADC">
            <w:pPr>
              <w:rPr>
                <w:rFonts w:ascii="Times New Roman" w:hAnsi="Times New Roman"/>
                <w:sz w:val="24"/>
              </w:rPr>
            </w:pPr>
            <w:r w:rsidRPr="00522E4F">
              <w:rPr>
                <w:rFonts w:ascii="Times New Roman" w:hAnsi="Times New Roman"/>
                <w:sz w:val="24"/>
              </w:rPr>
              <w:t>0070</w:t>
            </w:r>
          </w:p>
        </w:tc>
        <w:tc>
          <w:tcPr>
            <w:tcW w:w="7844" w:type="dxa"/>
          </w:tcPr>
          <w:p w14:paraId="06D59C90" w14:textId="5F5948DD"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 len</w:t>
            </w:r>
            <w:r w:rsidR="00522E4F">
              <w:rPr>
                <w:rFonts w:ascii="Times New Roman" w:hAnsi="Times New Roman"/>
                <w:b/>
                <w:sz w:val="24"/>
                <w:u w:val="single"/>
              </w:rPr>
              <w:t xml:space="preserve"> s </w:t>
            </w:r>
            <w:r w:rsidRPr="00522E4F">
              <w:rPr>
                <w:rFonts w:ascii="Times New Roman" w:hAnsi="Times New Roman"/>
                <w:b/>
                <w:sz w:val="24"/>
                <w:u w:val="single"/>
              </w:rPr>
              <w:t>nefinančnými protistranami</w:t>
            </w:r>
            <w:r w:rsidR="00522E4F">
              <w:rPr>
                <w:rFonts w:ascii="Times New Roman" w:hAnsi="Times New Roman"/>
                <w:b/>
                <w:sz w:val="24"/>
                <w:u w:val="single"/>
              </w:rPr>
              <w:t xml:space="preserve"> z </w:t>
            </w:r>
            <w:r w:rsidRPr="00522E4F">
              <w:rPr>
                <w:rFonts w:ascii="Times New Roman" w:hAnsi="Times New Roman"/>
                <w:b/>
                <w:sz w:val="24"/>
                <w:u w:val="single"/>
              </w:rPr>
              <w:t>EÚ</w:t>
            </w:r>
          </w:p>
          <w:p w14:paraId="4BE3F0CA" w14:textId="4E5D2BB5" w:rsidR="00680687" w:rsidRPr="00522E4F" w:rsidRDefault="00680687" w:rsidP="006A3ADC">
            <w:pPr>
              <w:rPr>
                <w:rFonts w:ascii="Times New Roman" w:hAnsi="Times New Roman"/>
                <w:sz w:val="24"/>
              </w:rPr>
            </w:pPr>
            <w:r w:rsidRPr="00522E4F">
              <w:rPr>
                <w:rFonts w:ascii="Times New Roman" w:hAnsi="Times New Roman"/>
                <w:sz w:val="24"/>
              </w:rPr>
              <w:t>Okrajový vplyv opätovného začlenenia transakcií len</w:t>
            </w:r>
            <w:r w:rsidR="00522E4F">
              <w:rPr>
                <w:rFonts w:ascii="Times New Roman" w:hAnsi="Times New Roman"/>
                <w:sz w:val="24"/>
              </w:rPr>
              <w:t xml:space="preserve"> s </w:t>
            </w:r>
            <w:r w:rsidRPr="00522E4F">
              <w:rPr>
                <w:rFonts w:ascii="Times New Roman" w:hAnsi="Times New Roman"/>
                <w:sz w:val="24"/>
              </w:rPr>
              <w:t>nefinančnými protistranami</w:t>
            </w:r>
            <w:r w:rsidR="00522E4F">
              <w:rPr>
                <w:rFonts w:ascii="Times New Roman" w:hAnsi="Times New Roman"/>
                <w:sz w:val="24"/>
              </w:rPr>
              <w:t xml:space="preserve"> z </w:t>
            </w:r>
            <w:r w:rsidRPr="00522E4F">
              <w:rPr>
                <w:rFonts w:ascii="Times New Roman" w:hAnsi="Times New Roman"/>
                <w:sz w:val="24"/>
              </w:rPr>
              <w:t>EÚ Rozsah transakcií by mal pozostávať zo všetkých transakcií vykázaných</w:t>
            </w:r>
            <w:r w:rsidR="00522E4F">
              <w:rPr>
                <w:rFonts w:ascii="Times New Roman" w:hAnsi="Times New Roman"/>
                <w:sz w:val="24"/>
              </w:rPr>
              <w:t xml:space="preserve"> v </w:t>
            </w:r>
            <w:r w:rsidRPr="00522E4F">
              <w:rPr>
                <w:rFonts w:ascii="Times New Roman" w:hAnsi="Times New Roman"/>
                <w:sz w:val="24"/>
              </w:rPr>
              <w:t>riadku 0060 bez rozsahu transakcií vykázaných</w:t>
            </w:r>
            <w:r w:rsidR="00522E4F">
              <w:rPr>
                <w:rFonts w:ascii="Times New Roman" w:hAnsi="Times New Roman"/>
                <w:sz w:val="24"/>
              </w:rPr>
              <w:t xml:space="preserve"> v </w:t>
            </w:r>
            <w:r w:rsidRPr="00522E4F">
              <w:rPr>
                <w:rFonts w:ascii="Times New Roman" w:hAnsi="Times New Roman"/>
                <w:sz w:val="24"/>
              </w:rPr>
              <w:t>riadku 0080.</w:t>
            </w:r>
          </w:p>
        </w:tc>
      </w:tr>
      <w:tr w:rsidR="00680687" w:rsidRPr="00522E4F" w14:paraId="3731030D" w14:textId="77777777" w:rsidTr="006A3ADC">
        <w:tc>
          <w:tcPr>
            <w:tcW w:w="1172" w:type="dxa"/>
          </w:tcPr>
          <w:p w14:paraId="51808CD9" w14:textId="77777777" w:rsidR="00680687" w:rsidRPr="00522E4F" w:rsidRDefault="00680687" w:rsidP="006A3ADC">
            <w:pPr>
              <w:rPr>
                <w:rFonts w:ascii="Times New Roman" w:hAnsi="Times New Roman"/>
                <w:sz w:val="24"/>
              </w:rPr>
            </w:pPr>
            <w:r w:rsidRPr="00522E4F">
              <w:rPr>
                <w:rFonts w:ascii="Times New Roman" w:hAnsi="Times New Roman"/>
                <w:sz w:val="24"/>
              </w:rPr>
              <w:t>0080</w:t>
            </w:r>
          </w:p>
        </w:tc>
        <w:tc>
          <w:tcPr>
            <w:tcW w:w="7844" w:type="dxa"/>
          </w:tcPr>
          <w:p w14:paraId="4BA84670" w14:textId="4EB8378B"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 len</w:t>
            </w:r>
            <w:r w:rsidR="00522E4F">
              <w:rPr>
                <w:rFonts w:ascii="Times New Roman" w:hAnsi="Times New Roman"/>
                <w:b/>
                <w:sz w:val="24"/>
                <w:u w:val="single"/>
              </w:rPr>
              <w:t xml:space="preserve"> s </w:t>
            </w:r>
            <w:r w:rsidRPr="00522E4F">
              <w:rPr>
                <w:rFonts w:ascii="Times New Roman" w:hAnsi="Times New Roman"/>
                <w:b/>
                <w:sz w:val="24"/>
                <w:u w:val="single"/>
              </w:rPr>
              <w:t>nefinančnými protistranami</w:t>
            </w:r>
            <w:r w:rsidR="00522E4F">
              <w:rPr>
                <w:rFonts w:ascii="Times New Roman" w:hAnsi="Times New Roman"/>
                <w:b/>
                <w:sz w:val="24"/>
                <w:u w:val="single"/>
              </w:rPr>
              <w:t xml:space="preserve"> z </w:t>
            </w:r>
            <w:r w:rsidRPr="00522E4F">
              <w:rPr>
                <w:rFonts w:ascii="Times New Roman" w:hAnsi="Times New Roman"/>
                <w:b/>
                <w:sz w:val="24"/>
                <w:u w:val="single"/>
              </w:rPr>
              <w:t>tretej krajiny</w:t>
            </w:r>
          </w:p>
          <w:p w14:paraId="11A30CDC" w14:textId="4E065E50" w:rsidR="00680687" w:rsidRPr="00522E4F" w:rsidRDefault="00680687" w:rsidP="006A3ADC">
            <w:pPr>
              <w:rPr>
                <w:rFonts w:ascii="Times New Roman" w:hAnsi="Times New Roman"/>
                <w:b/>
                <w:sz w:val="24"/>
                <w:u w:val="single"/>
              </w:rPr>
            </w:pPr>
            <w:r w:rsidRPr="00522E4F">
              <w:rPr>
                <w:rFonts w:ascii="Times New Roman" w:hAnsi="Times New Roman"/>
                <w:sz w:val="24"/>
              </w:rPr>
              <w:t>Okrajový vplyv opätovného začlenenia transakcií len</w:t>
            </w:r>
            <w:r w:rsidR="00522E4F">
              <w:rPr>
                <w:rFonts w:ascii="Times New Roman" w:hAnsi="Times New Roman"/>
                <w:sz w:val="24"/>
              </w:rPr>
              <w:t xml:space="preserve"> s </w:t>
            </w:r>
            <w:r w:rsidRPr="00522E4F">
              <w:rPr>
                <w:rFonts w:ascii="Times New Roman" w:hAnsi="Times New Roman"/>
                <w:sz w:val="24"/>
              </w:rPr>
              <w:t>nefinančnými protistranami</w:t>
            </w:r>
            <w:r w:rsidR="00522E4F">
              <w:rPr>
                <w:rFonts w:ascii="Times New Roman" w:hAnsi="Times New Roman"/>
                <w:sz w:val="24"/>
              </w:rPr>
              <w:t xml:space="preserve"> z </w:t>
            </w:r>
            <w:r w:rsidRPr="00522E4F">
              <w:rPr>
                <w:rFonts w:ascii="Times New Roman" w:hAnsi="Times New Roman"/>
                <w:sz w:val="24"/>
              </w:rPr>
              <w:t xml:space="preserve">tretej krajiny </w:t>
            </w:r>
            <w:r w:rsidRPr="00522E4F">
              <w:rPr>
                <w:rFonts w:ascii="Times New Roman" w:hAnsi="Times New Roman"/>
              </w:rPr>
              <w:t>Rozsah transakcií by mal pozostávať zo všetkých transakcií vykázaných</w:t>
            </w:r>
            <w:r w:rsidR="00522E4F">
              <w:rPr>
                <w:rFonts w:ascii="Times New Roman" w:hAnsi="Times New Roman"/>
              </w:rPr>
              <w:t xml:space="preserve"> v </w:t>
            </w:r>
            <w:r w:rsidRPr="00522E4F">
              <w:rPr>
                <w:rFonts w:ascii="Times New Roman" w:hAnsi="Times New Roman"/>
              </w:rPr>
              <w:t>riadku 0060 bez rozsahu transakcií vykázaných</w:t>
            </w:r>
            <w:r w:rsidR="00522E4F">
              <w:rPr>
                <w:rFonts w:ascii="Times New Roman" w:hAnsi="Times New Roman"/>
              </w:rPr>
              <w:t xml:space="preserve"> v </w:t>
            </w:r>
            <w:r w:rsidRPr="00522E4F">
              <w:rPr>
                <w:rFonts w:ascii="Times New Roman" w:hAnsi="Times New Roman"/>
              </w:rPr>
              <w:t>riadku 0070.</w:t>
            </w:r>
          </w:p>
        </w:tc>
      </w:tr>
      <w:tr w:rsidR="00680687" w:rsidRPr="00522E4F" w14:paraId="18A77771" w14:textId="77777777" w:rsidTr="006A3ADC">
        <w:tc>
          <w:tcPr>
            <w:tcW w:w="1172" w:type="dxa"/>
          </w:tcPr>
          <w:p w14:paraId="6E4EED3A" w14:textId="77777777" w:rsidR="00680687" w:rsidRPr="00522E4F" w:rsidRDefault="00680687" w:rsidP="006A3ADC">
            <w:pPr>
              <w:rPr>
                <w:rFonts w:ascii="Times New Roman" w:hAnsi="Times New Roman"/>
                <w:sz w:val="24"/>
              </w:rPr>
            </w:pPr>
            <w:r w:rsidRPr="00522E4F">
              <w:rPr>
                <w:rFonts w:ascii="Times New Roman" w:hAnsi="Times New Roman"/>
                <w:sz w:val="24"/>
              </w:rPr>
              <w:t>0090</w:t>
            </w:r>
          </w:p>
        </w:tc>
        <w:tc>
          <w:tcPr>
            <w:tcW w:w="7844" w:type="dxa"/>
          </w:tcPr>
          <w:p w14:paraId="64EFAC4D" w14:textId="35A2833C"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w:t>
            </w:r>
            <w:r w:rsidR="00522E4F">
              <w:rPr>
                <w:rFonts w:ascii="Times New Roman" w:hAnsi="Times New Roman"/>
                <w:b/>
                <w:sz w:val="24"/>
                <w:u w:val="single"/>
              </w:rPr>
              <w:t xml:space="preserve"> v </w:t>
            </w:r>
            <w:r w:rsidRPr="00522E4F">
              <w:rPr>
                <w:rFonts w:ascii="Times New Roman" w:hAnsi="Times New Roman"/>
                <w:b/>
                <w:sz w:val="24"/>
                <w:u w:val="single"/>
              </w:rPr>
              <w:t>rámci skupiny</w:t>
            </w:r>
          </w:p>
          <w:p w14:paraId="59B1E4E8" w14:textId="05386BB0" w:rsidR="00680687" w:rsidRPr="00522E4F" w:rsidRDefault="00680687" w:rsidP="006A3ADC">
            <w:pPr>
              <w:rPr>
                <w:rFonts w:ascii="Times New Roman" w:hAnsi="Times New Roman"/>
                <w:sz w:val="24"/>
              </w:rPr>
            </w:pPr>
            <w:r w:rsidRPr="00522E4F">
              <w:rPr>
                <w:rFonts w:ascii="Times New Roman" w:hAnsi="Times New Roman"/>
              </w:rPr>
              <w:t>Okrajový vplyv opätovného začlenenia transakcií</w:t>
            </w:r>
            <w:r w:rsidR="00522E4F">
              <w:rPr>
                <w:rFonts w:ascii="Times New Roman" w:hAnsi="Times New Roman"/>
              </w:rPr>
              <w:t xml:space="preserve"> v </w:t>
            </w:r>
            <w:r w:rsidRPr="00522E4F">
              <w:rPr>
                <w:rFonts w:ascii="Times New Roman" w:hAnsi="Times New Roman"/>
              </w:rPr>
              <w:t>rámci skupiny</w:t>
            </w:r>
            <w:r w:rsidR="00522E4F">
              <w:rPr>
                <w:rFonts w:ascii="Times New Roman" w:hAnsi="Times New Roman"/>
              </w:rPr>
              <w:t xml:space="preserve"> v </w:t>
            </w:r>
            <w:r w:rsidRPr="00522E4F">
              <w:rPr>
                <w:rFonts w:ascii="Times New Roman" w:hAnsi="Times New Roman"/>
              </w:rPr>
              <w:t>zmysle vymedzenia</w:t>
            </w:r>
            <w:r w:rsidR="00522E4F">
              <w:rPr>
                <w:rFonts w:ascii="Times New Roman" w:hAnsi="Times New Roman"/>
              </w:rPr>
              <w:t xml:space="preserve"> v </w:t>
            </w:r>
            <w:r w:rsidRPr="00522E4F">
              <w:rPr>
                <w:rFonts w:ascii="Times New Roman" w:hAnsi="Times New Roman"/>
              </w:rPr>
              <w:t xml:space="preserve">článku 382 ods. 4 písm. b) nariadenia (EÚ) </w:t>
            </w:r>
            <w:r w:rsidR="00522E4F">
              <w:rPr>
                <w:rFonts w:ascii="Times New Roman" w:hAnsi="Times New Roman"/>
              </w:rPr>
              <w:t>č. </w:t>
            </w:r>
            <w:r w:rsidRPr="00522E4F">
              <w:rPr>
                <w:rFonts w:ascii="Times New Roman" w:hAnsi="Times New Roman"/>
              </w:rPr>
              <w:t>575/2013.</w:t>
            </w:r>
          </w:p>
        </w:tc>
      </w:tr>
      <w:tr w:rsidR="00680687" w:rsidRPr="00522E4F" w14:paraId="31EEAE35" w14:textId="77777777" w:rsidTr="006A3ADC">
        <w:tc>
          <w:tcPr>
            <w:tcW w:w="1172" w:type="dxa"/>
          </w:tcPr>
          <w:p w14:paraId="6B9DF7C0" w14:textId="77777777" w:rsidR="00680687" w:rsidRPr="00522E4F" w:rsidRDefault="00680687" w:rsidP="006A3ADC">
            <w:pPr>
              <w:rPr>
                <w:rFonts w:ascii="Times New Roman" w:hAnsi="Times New Roman"/>
                <w:sz w:val="24"/>
              </w:rPr>
            </w:pPr>
            <w:r w:rsidRPr="00522E4F">
              <w:rPr>
                <w:rFonts w:ascii="Times New Roman" w:hAnsi="Times New Roman"/>
                <w:sz w:val="24"/>
              </w:rPr>
              <w:t>0100</w:t>
            </w:r>
          </w:p>
        </w:tc>
        <w:tc>
          <w:tcPr>
            <w:tcW w:w="7844" w:type="dxa"/>
          </w:tcPr>
          <w:p w14:paraId="527EC6B8" w14:textId="77777777" w:rsidR="00522E4F" w:rsidRDefault="00680687" w:rsidP="006A3ADC">
            <w:pPr>
              <w:rPr>
                <w:rFonts w:ascii="Times New Roman" w:hAnsi="Times New Roman"/>
                <w:b/>
                <w:sz w:val="24"/>
                <w:u w:val="single"/>
              </w:rPr>
            </w:pPr>
            <w:r w:rsidRPr="00522E4F">
              <w:rPr>
                <w:rFonts w:ascii="Times New Roman" w:hAnsi="Times New Roman"/>
                <w:b/>
                <w:sz w:val="24"/>
                <w:u w:val="single"/>
              </w:rPr>
              <w:t>Transakcie</w:t>
            </w:r>
            <w:r w:rsidR="00522E4F">
              <w:rPr>
                <w:rFonts w:ascii="Times New Roman" w:hAnsi="Times New Roman"/>
                <w:b/>
                <w:sz w:val="24"/>
                <w:u w:val="single"/>
              </w:rPr>
              <w:t xml:space="preserve"> s </w:t>
            </w:r>
            <w:r w:rsidRPr="00522E4F">
              <w:rPr>
                <w:rFonts w:ascii="Times New Roman" w:hAnsi="Times New Roman"/>
                <w:b/>
                <w:sz w:val="24"/>
                <w:u w:val="single"/>
              </w:rPr>
              <w:t>protistranami dôchodkových fondov</w:t>
            </w:r>
          </w:p>
          <w:p w14:paraId="1051EC9B" w14:textId="02EF70A8" w:rsidR="00680687" w:rsidRPr="00522E4F" w:rsidRDefault="00680687" w:rsidP="006A3ADC">
            <w:pPr>
              <w:rPr>
                <w:rFonts w:ascii="Times New Roman" w:hAnsi="Times New Roman"/>
                <w:b/>
                <w:bCs/>
                <w:sz w:val="24"/>
                <w:u w:val="single"/>
              </w:rPr>
            </w:pPr>
            <w:r w:rsidRPr="00522E4F">
              <w:rPr>
                <w:rFonts w:ascii="Times New Roman" w:hAnsi="Times New Roman"/>
                <w:sz w:val="24"/>
              </w:rPr>
              <w:t>Okrajový vplyv transakcií</w:t>
            </w:r>
            <w:r w:rsidR="00522E4F">
              <w:rPr>
                <w:rFonts w:ascii="Times New Roman" w:hAnsi="Times New Roman"/>
                <w:sz w:val="24"/>
              </w:rPr>
              <w:t xml:space="preserve"> s </w:t>
            </w:r>
            <w:r w:rsidRPr="00522E4F">
              <w:rPr>
                <w:rFonts w:ascii="Times New Roman" w:hAnsi="Times New Roman"/>
                <w:sz w:val="24"/>
              </w:rPr>
              <w:t>protistranami dôchodkových fondov uzavretých počas prechodného obdobia ustanoveného</w:t>
            </w:r>
            <w:r w:rsidR="00522E4F">
              <w:rPr>
                <w:rFonts w:ascii="Times New Roman" w:hAnsi="Times New Roman"/>
                <w:sz w:val="24"/>
              </w:rPr>
              <w:t xml:space="preserve"> v </w:t>
            </w:r>
            <w:r w:rsidRPr="00522E4F">
              <w:rPr>
                <w:rFonts w:ascii="Times New Roman" w:hAnsi="Times New Roman"/>
                <w:sz w:val="24"/>
              </w:rPr>
              <w:t xml:space="preserve">článku 89 ods. 1 nariadenia (EÚ) </w:t>
            </w:r>
            <w:r w:rsidR="00522E4F">
              <w:rPr>
                <w:rFonts w:ascii="Times New Roman" w:hAnsi="Times New Roman"/>
                <w:sz w:val="24"/>
              </w:rPr>
              <w:t>č. </w:t>
            </w:r>
            <w:r w:rsidRPr="00522E4F">
              <w:rPr>
                <w:rFonts w:ascii="Times New Roman" w:hAnsi="Times New Roman"/>
                <w:sz w:val="24"/>
              </w:rPr>
              <w:t>648/2012</w:t>
            </w:r>
            <w:r w:rsidR="00522E4F">
              <w:rPr>
                <w:rFonts w:ascii="Times New Roman" w:hAnsi="Times New Roman"/>
                <w:sz w:val="24"/>
              </w:rPr>
              <w:t xml:space="preserve"> a </w:t>
            </w:r>
            <w:r w:rsidRPr="00522E4F">
              <w:rPr>
                <w:rFonts w:ascii="Times New Roman" w:hAnsi="Times New Roman"/>
                <w:sz w:val="24"/>
              </w:rPr>
              <w:t>oslobodených od požiadaviek na vlastné zdroje pre riziko úpravy ocenenia pohľadávok</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382 ods. 4 druhom </w:t>
            </w:r>
            <w:proofErr w:type="spellStart"/>
            <w:r w:rsidRPr="00522E4F">
              <w:rPr>
                <w:rFonts w:ascii="Times New Roman" w:hAnsi="Times New Roman"/>
                <w:sz w:val="24"/>
              </w:rPr>
              <w:t>pododseku</w:t>
            </w:r>
            <w:proofErr w:type="spellEnd"/>
            <w:r w:rsidRPr="00522E4F">
              <w:rPr>
                <w:rFonts w:ascii="Times New Roman" w:hAnsi="Times New Roman"/>
                <w:sz w:val="24"/>
              </w:rPr>
              <w:t xml:space="preserve"> nariadenia (EÚ) </w:t>
            </w:r>
            <w:r w:rsidR="00522E4F">
              <w:rPr>
                <w:rFonts w:ascii="Times New Roman" w:hAnsi="Times New Roman"/>
                <w:sz w:val="24"/>
              </w:rPr>
              <w:t>č. </w:t>
            </w:r>
            <w:r w:rsidRPr="00522E4F">
              <w:rPr>
                <w:rFonts w:ascii="Times New Roman" w:hAnsi="Times New Roman"/>
                <w:sz w:val="24"/>
              </w:rPr>
              <w:t>575/2013 Transakcie, ktoré sú uvedené</w:t>
            </w:r>
            <w:r w:rsidR="00522E4F">
              <w:rPr>
                <w:rFonts w:ascii="Times New Roman" w:hAnsi="Times New Roman"/>
                <w:sz w:val="24"/>
              </w:rPr>
              <w:t xml:space="preserve"> v </w:t>
            </w:r>
            <w:r w:rsidRPr="00522E4F">
              <w:rPr>
                <w:rFonts w:ascii="Times New Roman" w:hAnsi="Times New Roman"/>
                <w:sz w:val="24"/>
              </w:rPr>
              <w:t>článku 382 ods. 4 písm. c)</w:t>
            </w:r>
            <w:r w:rsidR="00522E4F">
              <w:rPr>
                <w:rFonts w:ascii="Times New Roman" w:hAnsi="Times New Roman"/>
                <w:sz w:val="24"/>
              </w:rPr>
              <w:t xml:space="preserve"> a </w:t>
            </w:r>
            <w:r w:rsidRPr="00522E4F">
              <w:rPr>
                <w:rFonts w:ascii="Times New Roman" w:hAnsi="Times New Roman"/>
                <w:sz w:val="24"/>
              </w:rPr>
              <w:t>neboli uzavreté počas prechodného obdobia ustanoveného</w:t>
            </w:r>
            <w:r w:rsidR="00522E4F">
              <w:rPr>
                <w:rFonts w:ascii="Times New Roman" w:hAnsi="Times New Roman"/>
                <w:sz w:val="24"/>
              </w:rPr>
              <w:t xml:space="preserve"> v </w:t>
            </w:r>
            <w:r w:rsidRPr="00522E4F">
              <w:rPr>
                <w:rFonts w:ascii="Times New Roman" w:hAnsi="Times New Roman"/>
                <w:sz w:val="24"/>
              </w:rPr>
              <w:t xml:space="preserve">článku 89 ods. 1 nariadenia (EÚ) </w:t>
            </w:r>
            <w:r w:rsidR="00522E4F">
              <w:rPr>
                <w:rFonts w:ascii="Times New Roman" w:hAnsi="Times New Roman"/>
                <w:sz w:val="24"/>
              </w:rPr>
              <w:t>č. </w:t>
            </w:r>
            <w:r w:rsidRPr="00522E4F">
              <w:rPr>
                <w:rFonts w:ascii="Times New Roman" w:hAnsi="Times New Roman"/>
                <w:sz w:val="24"/>
              </w:rPr>
              <w:t>648/2012, sa nepovažujú za vyňaté transakcie, pretože prechodné obdobie na uplatňovanie uvedenej výnimky uplynulo.</w:t>
            </w:r>
          </w:p>
        </w:tc>
      </w:tr>
      <w:tr w:rsidR="00680687" w:rsidRPr="00522E4F" w14:paraId="672E6D90" w14:textId="77777777" w:rsidTr="006A3ADC">
        <w:tc>
          <w:tcPr>
            <w:tcW w:w="1172" w:type="dxa"/>
          </w:tcPr>
          <w:p w14:paraId="2C9DEE10" w14:textId="77777777" w:rsidR="00680687" w:rsidRPr="00522E4F" w:rsidRDefault="00680687" w:rsidP="006A3ADC">
            <w:pPr>
              <w:rPr>
                <w:rFonts w:ascii="Times New Roman" w:hAnsi="Times New Roman"/>
                <w:sz w:val="24"/>
              </w:rPr>
            </w:pPr>
            <w:r w:rsidRPr="00522E4F">
              <w:rPr>
                <w:rFonts w:ascii="Times New Roman" w:hAnsi="Times New Roman"/>
                <w:sz w:val="24"/>
              </w:rPr>
              <w:t>0110</w:t>
            </w:r>
          </w:p>
        </w:tc>
        <w:tc>
          <w:tcPr>
            <w:tcW w:w="7844" w:type="dxa"/>
          </w:tcPr>
          <w:p w14:paraId="41C2A83D"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Transakcie so štátnymi protistranami</w:t>
            </w:r>
          </w:p>
          <w:p w14:paraId="63BD107D" w14:textId="39534E1A" w:rsidR="00680687" w:rsidRPr="00522E4F" w:rsidRDefault="00680687" w:rsidP="006A3ADC">
            <w:pPr>
              <w:rPr>
                <w:rFonts w:ascii="Times New Roman" w:hAnsi="Times New Roman"/>
                <w:sz w:val="24"/>
              </w:rPr>
            </w:pPr>
            <w:r w:rsidRPr="00522E4F">
              <w:rPr>
                <w:rFonts w:ascii="Times New Roman" w:hAnsi="Times New Roman"/>
              </w:rPr>
              <w:t>Okrajový vplyv opätovného začlenenia transakcií so štátnymi protistranami</w:t>
            </w:r>
            <w:r w:rsidR="00522E4F">
              <w:rPr>
                <w:rFonts w:ascii="Times New Roman" w:hAnsi="Times New Roman"/>
              </w:rPr>
              <w:t xml:space="preserve"> v </w:t>
            </w:r>
            <w:r w:rsidRPr="00522E4F">
              <w:rPr>
                <w:rFonts w:ascii="Times New Roman" w:hAnsi="Times New Roman"/>
              </w:rPr>
              <w:t>zmysle vymedzenia</w:t>
            </w:r>
            <w:r w:rsidR="00522E4F">
              <w:rPr>
                <w:rFonts w:ascii="Times New Roman" w:hAnsi="Times New Roman"/>
              </w:rPr>
              <w:t xml:space="preserve"> v </w:t>
            </w:r>
            <w:r w:rsidRPr="00522E4F">
              <w:rPr>
                <w:rFonts w:ascii="Times New Roman" w:hAnsi="Times New Roman"/>
              </w:rPr>
              <w:t xml:space="preserve">článku 382 ods. 4 písm. d) nariadenia (EÚ) </w:t>
            </w:r>
            <w:r w:rsidR="00522E4F">
              <w:rPr>
                <w:rFonts w:ascii="Times New Roman" w:hAnsi="Times New Roman"/>
              </w:rPr>
              <w:t>č. </w:t>
            </w:r>
            <w:r w:rsidRPr="00522E4F">
              <w:rPr>
                <w:rFonts w:ascii="Times New Roman" w:hAnsi="Times New Roman"/>
              </w:rPr>
              <w:t>575/2013</w:t>
            </w:r>
          </w:p>
        </w:tc>
      </w:tr>
      <w:tr w:rsidR="00680687" w:rsidRPr="00522E4F" w14:paraId="2FAF19E8" w14:textId="77777777" w:rsidTr="006A3ADC">
        <w:tc>
          <w:tcPr>
            <w:tcW w:w="1172" w:type="dxa"/>
          </w:tcPr>
          <w:p w14:paraId="7B2E2B90" w14:textId="77777777" w:rsidR="00680687" w:rsidRPr="00522E4F" w:rsidRDefault="00680687" w:rsidP="006A3ADC">
            <w:pPr>
              <w:rPr>
                <w:rFonts w:ascii="Times New Roman" w:hAnsi="Times New Roman"/>
                <w:sz w:val="24"/>
              </w:rPr>
            </w:pPr>
            <w:r w:rsidRPr="00522E4F">
              <w:rPr>
                <w:rFonts w:ascii="Times New Roman" w:hAnsi="Times New Roman"/>
                <w:sz w:val="24"/>
              </w:rPr>
              <w:lastRenderedPageBreak/>
              <w:t>0120</w:t>
            </w:r>
          </w:p>
        </w:tc>
        <w:tc>
          <w:tcPr>
            <w:tcW w:w="7844" w:type="dxa"/>
          </w:tcPr>
          <w:p w14:paraId="1119F74D" w14:textId="77777777" w:rsidR="00522E4F" w:rsidRDefault="00680687" w:rsidP="006A3ADC">
            <w:pPr>
              <w:rPr>
                <w:rFonts w:ascii="Times New Roman" w:hAnsi="Times New Roman"/>
                <w:b/>
                <w:sz w:val="24"/>
                <w:u w:val="single"/>
              </w:rPr>
            </w:pPr>
            <w:proofErr w:type="spellStart"/>
            <w:r w:rsidRPr="00522E4F">
              <w:rPr>
                <w:rFonts w:ascii="Times New Roman" w:hAnsi="Times New Roman"/>
                <w:b/>
                <w:sz w:val="24"/>
                <w:u w:val="single"/>
              </w:rPr>
              <w:t>Hedžingy</w:t>
            </w:r>
            <w:proofErr w:type="spellEnd"/>
            <w:r w:rsidRPr="00522E4F">
              <w:rPr>
                <w:rFonts w:ascii="Times New Roman" w:hAnsi="Times New Roman"/>
                <w:b/>
                <w:sz w:val="24"/>
                <w:u w:val="single"/>
              </w:rPr>
              <w:t xml:space="preserve"> úpravy ocenenia pohľadávok vyňatých transakcií, ktoré nie sú zahrnuté do rozsahu pôsobnosti úpravy ocenenia pohľadávok</w:t>
            </w:r>
          </w:p>
          <w:p w14:paraId="7B05FC5B" w14:textId="649A5E21" w:rsidR="00680687" w:rsidRPr="00522E4F" w:rsidRDefault="00680687" w:rsidP="006A3ADC">
            <w:pPr>
              <w:rPr>
                <w:rFonts w:ascii="Times New Roman" w:hAnsi="Times New Roman"/>
                <w:sz w:val="24"/>
              </w:rPr>
            </w:pPr>
            <w:proofErr w:type="spellStart"/>
            <w:r w:rsidRPr="00522E4F">
              <w:rPr>
                <w:rFonts w:ascii="Times New Roman" w:hAnsi="Times New Roman"/>
                <w:sz w:val="24"/>
              </w:rPr>
              <w:t>Hedžingy</w:t>
            </w:r>
            <w:proofErr w:type="spellEnd"/>
            <w:r w:rsidRPr="00522E4F">
              <w:rPr>
                <w:rFonts w:ascii="Times New Roman" w:hAnsi="Times New Roman"/>
                <w:sz w:val="24"/>
              </w:rPr>
              <w:t xml:space="preserve"> úpravy ocenenia pohľadávok vyňatých transakcií, ktoré nie sú zahrnuté do rozsahu pôsobnosti požiadaviek na vlastné zdroje pre riziko úpravy ocenenia pohľadávok</w:t>
            </w:r>
            <w:r w:rsidR="00522E4F">
              <w:rPr>
                <w:rFonts w:ascii="Times New Roman" w:hAnsi="Times New Roman"/>
                <w:sz w:val="24"/>
              </w:rPr>
              <w:t xml:space="preserve"> a </w:t>
            </w:r>
            <w:r w:rsidRPr="00522E4F">
              <w:rPr>
                <w:rFonts w:ascii="Times New Roman" w:hAnsi="Times New Roman"/>
                <w:sz w:val="24"/>
              </w:rPr>
              <w:t xml:space="preserve">na ktoré sa vzťahujú kapitálové požiadavky na trhové riziko. </w:t>
            </w:r>
          </w:p>
        </w:tc>
      </w:tr>
      <w:tr w:rsidR="00680687" w:rsidRPr="00522E4F" w14:paraId="01CC7562" w14:textId="77777777" w:rsidTr="006A3ADC">
        <w:tc>
          <w:tcPr>
            <w:tcW w:w="1172" w:type="dxa"/>
          </w:tcPr>
          <w:p w14:paraId="6B81B404" w14:textId="77777777" w:rsidR="00680687" w:rsidRPr="00522E4F" w:rsidRDefault="00680687" w:rsidP="006A3ADC">
            <w:pPr>
              <w:rPr>
                <w:rFonts w:ascii="Times New Roman" w:hAnsi="Times New Roman"/>
                <w:sz w:val="24"/>
              </w:rPr>
            </w:pPr>
            <w:r w:rsidRPr="00522E4F">
              <w:rPr>
                <w:rFonts w:ascii="Times New Roman" w:hAnsi="Times New Roman"/>
                <w:sz w:val="24"/>
              </w:rPr>
              <w:t>0130</w:t>
            </w:r>
          </w:p>
        </w:tc>
        <w:tc>
          <w:tcPr>
            <w:tcW w:w="7844" w:type="dxa"/>
          </w:tcPr>
          <w:p w14:paraId="6DFD2258" w14:textId="77777777" w:rsidR="00522E4F" w:rsidRDefault="00680687" w:rsidP="006A3ADC">
            <w:pPr>
              <w:rPr>
                <w:rFonts w:ascii="Times New Roman" w:hAnsi="Times New Roman"/>
                <w:b/>
                <w:sz w:val="24"/>
                <w:u w:val="single"/>
              </w:rPr>
            </w:pPr>
            <w:r w:rsidRPr="00522E4F">
              <w:rPr>
                <w:rFonts w:ascii="Times New Roman" w:hAnsi="Times New Roman"/>
                <w:b/>
                <w:sz w:val="24"/>
                <w:u w:val="single"/>
              </w:rPr>
              <w:t>Celkové SFT, ktoré sa nezúčtovávajú centrálne</w:t>
            </w:r>
            <w:r w:rsidR="00522E4F">
              <w:rPr>
                <w:rFonts w:ascii="Times New Roman" w:hAnsi="Times New Roman"/>
                <w:b/>
                <w:sz w:val="24"/>
                <w:u w:val="single"/>
              </w:rPr>
              <w:t xml:space="preserve"> a </w:t>
            </w:r>
            <w:r w:rsidRPr="00522E4F">
              <w:rPr>
                <w:rFonts w:ascii="Times New Roman" w:hAnsi="Times New Roman"/>
                <w:b/>
                <w:sz w:val="24"/>
                <w:u w:val="single"/>
              </w:rPr>
              <w:t>ktoré sú ocenené reálnou hodnotou na účtovné účely, okrem vyňatých transakcií</w:t>
            </w:r>
          </w:p>
          <w:p w14:paraId="6A560A0D" w14:textId="79E68B92" w:rsidR="00680687" w:rsidRPr="00522E4F" w:rsidRDefault="00680687" w:rsidP="006A3ADC">
            <w:pPr>
              <w:rPr>
                <w:rFonts w:ascii="Times New Roman" w:hAnsi="Times New Roman"/>
                <w:sz w:val="24"/>
              </w:rPr>
            </w:pPr>
            <w:r w:rsidRPr="00522E4F">
              <w:rPr>
                <w:rFonts w:ascii="Times New Roman" w:hAnsi="Times New Roman"/>
                <w:sz w:val="24"/>
              </w:rPr>
              <w:t>SFT, ktoré sú ocenené reálnou hodnotou na účtovné účely</w:t>
            </w:r>
            <w:r w:rsidR="00522E4F">
              <w:rPr>
                <w:rFonts w:ascii="Times New Roman" w:hAnsi="Times New Roman"/>
                <w:sz w:val="24"/>
              </w:rPr>
              <w:t xml:space="preserve"> a </w:t>
            </w:r>
            <w:r w:rsidRPr="00522E4F">
              <w:rPr>
                <w:rFonts w:ascii="Times New Roman" w:hAnsi="Times New Roman"/>
                <w:sz w:val="24"/>
              </w:rPr>
              <w:t>ktoré patria do rozsahu pôsobnosti požiadaviek na vlastné zdroje pre riziko úpravy ocenenia pohľadávok</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382 ods. 2 nariadenia (EÚ) </w:t>
            </w:r>
            <w:r w:rsidR="00522E4F">
              <w:rPr>
                <w:rFonts w:ascii="Times New Roman" w:hAnsi="Times New Roman"/>
                <w:sz w:val="24"/>
              </w:rPr>
              <w:t>č. </w:t>
            </w:r>
            <w:r w:rsidRPr="00522E4F">
              <w:rPr>
                <w:rFonts w:ascii="Times New Roman" w:hAnsi="Times New Roman"/>
                <w:sz w:val="24"/>
              </w:rPr>
              <w:t>575/2013, bez ohľadu na to, či sú expozície voči riziku úpravy ocenenia pohľadávok, ktoré</w:t>
            </w:r>
            <w:r w:rsidR="00522E4F">
              <w:rPr>
                <w:rFonts w:ascii="Times New Roman" w:hAnsi="Times New Roman"/>
                <w:sz w:val="24"/>
              </w:rPr>
              <w:t xml:space="preserve"> s </w:t>
            </w:r>
            <w:r w:rsidRPr="00522E4F">
              <w:rPr>
                <w:rFonts w:ascii="Times New Roman" w:hAnsi="Times New Roman"/>
                <w:sz w:val="24"/>
              </w:rPr>
              <w:t>nich vyplývajú, významné. SFT, ktoré sú oslobodené od požiadaviek na vlastné zdroje pre riziko úpravy ocenenia</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článkom 382 ods. 3</w:t>
            </w:r>
            <w:r w:rsidR="00522E4F">
              <w:rPr>
                <w:rFonts w:ascii="Times New Roman" w:hAnsi="Times New Roman"/>
                <w:sz w:val="24"/>
              </w:rPr>
              <w:t xml:space="preserve"> a </w:t>
            </w:r>
            <w:r w:rsidRPr="00522E4F">
              <w:rPr>
                <w:rFonts w:ascii="Times New Roman" w:hAnsi="Times New Roman"/>
                <w:sz w:val="24"/>
              </w:rPr>
              <w:t xml:space="preserve">4 nariadenia (EÚ) </w:t>
            </w:r>
            <w:r w:rsidR="00522E4F">
              <w:rPr>
                <w:rFonts w:ascii="Times New Roman" w:hAnsi="Times New Roman"/>
                <w:sz w:val="24"/>
              </w:rPr>
              <w:t>č. </w:t>
            </w:r>
            <w:r w:rsidRPr="00522E4F">
              <w:rPr>
                <w:rFonts w:ascii="Times New Roman" w:hAnsi="Times New Roman"/>
                <w:sz w:val="24"/>
              </w:rPr>
              <w:t>575/2013 by mali byť oslobodené od výpočtov,</w:t>
            </w:r>
            <w:r w:rsidR="00522E4F">
              <w:rPr>
                <w:rFonts w:ascii="Times New Roman" w:hAnsi="Times New Roman"/>
                <w:sz w:val="24"/>
              </w:rPr>
              <w:t xml:space="preserve"> s </w:t>
            </w:r>
            <w:r w:rsidRPr="00522E4F">
              <w:rPr>
                <w:rFonts w:ascii="Times New Roman" w:hAnsi="Times New Roman"/>
                <w:sz w:val="24"/>
              </w:rPr>
              <w:t>výnimkou prípadu, keď inštitúcia zahrnie uvedené transakcie do rozsahu pôsobnosti požiadaviek na vlastné zdroje pre riziko úpravy ocenenia pohľadávok</w:t>
            </w:r>
            <w:r w:rsidR="00522E4F">
              <w:rPr>
                <w:rFonts w:ascii="Times New Roman" w:hAnsi="Times New Roman"/>
                <w:sz w:val="24"/>
              </w:rPr>
              <w:t xml:space="preserve"> v </w:t>
            </w:r>
            <w:r w:rsidRPr="00522E4F">
              <w:rPr>
                <w:rFonts w:ascii="Times New Roman" w:hAnsi="Times New Roman"/>
                <w:sz w:val="24"/>
              </w:rPr>
              <w:t>súlade</w:t>
            </w:r>
            <w:r w:rsidR="00522E4F">
              <w:rPr>
                <w:rFonts w:ascii="Times New Roman" w:hAnsi="Times New Roman"/>
                <w:sz w:val="24"/>
              </w:rPr>
              <w:t xml:space="preserve"> s </w:t>
            </w:r>
            <w:r w:rsidRPr="00522E4F">
              <w:rPr>
                <w:rFonts w:ascii="Times New Roman" w:hAnsi="Times New Roman"/>
                <w:sz w:val="24"/>
              </w:rPr>
              <w:t xml:space="preserve">článkom 382 ods. 4a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51558923" w14:textId="77777777" w:rsidTr="006A3ADC">
        <w:tc>
          <w:tcPr>
            <w:tcW w:w="1172" w:type="dxa"/>
          </w:tcPr>
          <w:p w14:paraId="1BBFF038" w14:textId="77777777" w:rsidR="00680687" w:rsidRPr="00522E4F" w:rsidRDefault="00680687" w:rsidP="006A3ADC">
            <w:pPr>
              <w:rPr>
                <w:rFonts w:ascii="Times New Roman" w:hAnsi="Times New Roman"/>
                <w:sz w:val="24"/>
              </w:rPr>
            </w:pPr>
            <w:r w:rsidRPr="00522E4F">
              <w:rPr>
                <w:rFonts w:ascii="Times New Roman" w:hAnsi="Times New Roman"/>
                <w:sz w:val="24"/>
              </w:rPr>
              <w:t>0140 – 0160</w:t>
            </w:r>
          </w:p>
        </w:tc>
        <w:tc>
          <w:tcPr>
            <w:tcW w:w="7844" w:type="dxa"/>
          </w:tcPr>
          <w:p w14:paraId="2D6F4FFE" w14:textId="77777777" w:rsidR="00680687" w:rsidRPr="00522E4F" w:rsidRDefault="00680687" w:rsidP="006A3ADC">
            <w:pPr>
              <w:rPr>
                <w:rFonts w:ascii="Times New Roman" w:hAnsi="Times New Roman"/>
                <w:b/>
                <w:bCs/>
                <w:sz w:val="24"/>
                <w:u w:val="single"/>
              </w:rPr>
            </w:pPr>
            <w:proofErr w:type="spellStart"/>
            <w:r w:rsidRPr="00522E4F">
              <w:rPr>
                <w:rFonts w:ascii="Times New Roman" w:hAnsi="Times New Roman"/>
                <w:b/>
                <w:sz w:val="24"/>
                <w:u w:val="single"/>
              </w:rPr>
              <w:t>Hedžingy</w:t>
            </w:r>
            <w:proofErr w:type="spellEnd"/>
            <w:r w:rsidRPr="00522E4F">
              <w:rPr>
                <w:rFonts w:ascii="Times New Roman" w:hAnsi="Times New Roman"/>
                <w:b/>
                <w:sz w:val="24"/>
                <w:u w:val="single"/>
              </w:rPr>
              <w:t xml:space="preserve"> úpravy ocenenia pohľadávok</w:t>
            </w:r>
          </w:p>
          <w:p w14:paraId="225C7DDF" w14:textId="4425F822" w:rsidR="00680687" w:rsidRPr="00522E4F" w:rsidRDefault="00680687" w:rsidP="006A3ADC">
            <w:pPr>
              <w:rPr>
                <w:rFonts w:ascii="Times New Roman" w:hAnsi="Times New Roman"/>
                <w:b/>
                <w:bCs/>
                <w:caps/>
                <w:sz w:val="24"/>
                <w:u w:val="single"/>
              </w:rPr>
            </w:pPr>
            <w:r w:rsidRPr="00522E4F">
              <w:rPr>
                <w:rFonts w:ascii="Times New Roman" w:hAnsi="Times New Roman"/>
                <w:sz w:val="24"/>
              </w:rPr>
              <w:t xml:space="preserve">Článok 386 nariadenia (EÚ) </w:t>
            </w:r>
            <w:r w:rsidR="00522E4F">
              <w:rPr>
                <w:rFonts w:ascii="Times New Roman" w:hAnsi="Times New Roman"/>
                <w:sz w:val="24"/>
              </w:rPr>
              <w:t>č. </w:t>
            </w:r>
            <w:r w:rsidRPr="00522E4F">
              <w:rPr>
                <w:rFonts w:ascii="Times New Roman" w:hAnsi="Times New Roman"/>
                <w:sz w:val="24"/>
              </w:rPr>
              <w:t>575/2013</w:t>
            </w:r>
          </w:p>
        </w:tc>
      </w:tr>
      <w:tr w:rsidR="00680687" w:rsidRPr="00522E4F" w14:paraId="0F486D81" w14:textId="77777777" w:rsidTr="006A3ADC">
        <w:tc>
          <w:tcPr>
            <w:tcW w:w="1172" w:type="dxa"/>
          </w:tcPr>
          <w:p w14:paraId="597AD53C" w14:textId="77777777" w:rsidR="00680687" w:rsidRPr="00522E4F" w:rsidRDefault="00680687" w:rsidP="006A3ADC">
            <w:pPr>
              <w:rPr>
                <w:rFonts w:ascii="Times New Roman" w:hAnsi="Times New Roman"/>
                <w:sz w:val="24"/>
              </w:rPr>
            </w:pPr>
            <w:r w:rsidRPr="00522E4F">
              <w:rPr>
                <w:rFonts w:ascii="Times New Roman" w:hAnsi="Times New Roman"/>
                <w:sz w:val="24"/>
              </w:rPr>
              <w:t>0140</w:t>
            </w:r>
          </w:p>
        </w:tc>
        <w:tc>
          <w:tcPr>
            <w:tcW w:w="7844" w:type="dxa"/>
          </w:tcPr>
          <w:p w14:paraId="5853509D"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Swapy na kreditné zlyhanie zmierňujúce kreditné riziko len jednej protistrany</w:t>
            </w:r>
          </w:p>
        </w:tc>
      </w:tr>
      <w:tr w:rsidR="00680687" w:rsidRPr="00522E4F" w14:paraId="2EFC56DA" w14:textId="77777777" w:rsidTr="006A3ADC">
        <w:tc>
          <w:tcPr>
            <w:tcW w:w="1172" w:type="dxa"/>
          </w:tcPr>
          <w:p w14:paraId="689DB8DD" w14:textId="77777777" w:rsidR="00680687" w:rsidRPr="00522E4F" w:rsidRDefault="00680687" w:rsidP="006A3ADC">
            <w:pPr>
              <w:rPr>
                <w:rFonts w:ascii="Times New Roman" w:hAnsi="Times New Roman"/>
                <w:sz w:val="24"/>
              </w:rPr>
            </w:pPr>
            <w:r w:rsidRPr="00522E4F">
              <w:rPr>
                <w:rFonts w:ascii="Times New Roman" w:hAnsi="Times New Roman"/>
                <w:sz w:val="24"/>
              </w:rPr>
              <w:t>0150</w:t>
            </w:r>
          </w:p>
        </w:tc>
        <w:tc>
          <w:tcPr>
            <w:tcW w:w="7844" w:type="dxa"/>
          </w:tcPr>
          <w:p w14:paraId="05C9EFAC"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Indexové swapy na kreditné zlyhanie</w:t>
            </w:r>
          </w:p>
        </w:tc>
      </w:tr>
      <w:tr w:rsidR="00680687" w:rsidRPr="00522E4F" w14:paraId="0756472C" w14:textId="77777777" w:rsidTr="006A3ADC">
        <w:tc>
          <w:tcPr>
            <w:tcW w:w="1172" w:type="dxa"/>
          </w:tcPr>
          <w:p w14:paraId="219CB9F8" w14:textId="77777777" w:rsidR="00680687" w:rsidRPr="00522E4F" w:rsidRDefault="00680687" w:rsidP="006A3ADC">
            <w:pPr>
              <w:rPr>
                <w:rFonts w:ascii="Times New Roman" w:hAnsi="Times New Roman"/>
                <w:sz w:val="24"/>
              </w:rPr>
            </w:pPr>
            <w:r w:rsidRPr="00522E4F">
              <w:rPr>
                <w:rFonts w:ascii="Times New Roman" w:hAnsi="Times New Roman"/>
                <w:sz w:val="24"/>
              </w:rPr>
              <w:t>0160</w:t>
            </w:r>
          </w:p>
        </w:tc>
        <w:tc>
          <w:tcPr>
            <w:tcW w:w="7844" w:type="dxa"/>
          </w:tcPr>
          <w:p w14:paraId="14973198"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 xml:space="preserve">Iné deriváty klasifikované ako </w:t>
            </w:r>
            <w:proofErr w:type="spellStart"/>
            <w:r w:rsidRPr="00522E4F">
              <w:rPr>
                <w:rFonts w:ascii="Times New Roman" w:hAnsi="Times New Roman"/>
                <w:b/>
                <w:sz w:val="24"/>
                <w:u w:val="single"/>
              </w:rPr>
              <w:t>hedžingy</w:t>
            </w:r>
            <w:proofErr w:type="spellEnd"/>
            <w:r w:rsidRPr="00522E4F">
              <w:rPr>
                <w:rFonts w:ascii="Times New Roman" w:hAnsi="Times New Roman"/>
                <w:b/>
                <w:sz w:val="24"/>
                <w:u w:val="single"/>
              </w:rPr>
              <w:t xml:space="preserve"> rizika úpravy ocenenia pohľadávok</w:t>
            </w:r>
          </w:p>
        </w:tc>
      </w:tr>
      <w:tr w:rsidR="00680687" w:rsidRPr="00522E4F" w14:paraId="3769678C" w14:textId="77777777" w:rsidTr="006A3ADC">
        <w:tc>
          <w:tcPr>
            <w:tcW w:w="1172" w:type="dxa"/>
          </w:tcPr>
          <w:p w14:paraId="13F52A3F" w14:textId="77777777" w:rsidR="00680687" w:rsidRPr="00522E4F" w:rsidRDefault="00680687" w:rsidP="006A3ADC">
            <w:pPr>
              <w:rPr>
                <w:rFonts w:ascii="Times New Roman" w:hAnsi="Times New Roman"/>
                <w:sz w:val="24"/>
              </w:rPr>
            </w:pPr>
            <w:r w:rsidRPr="00522E4F">
              <w:rPr>
                <w:rFonts w:ascii="Times New Roman" w:hAnsi="Times New Roman"/>
                <w:sz w:val="24"/>
              </w:rPr>
              <w:t>0170 – 0220</w:t>
            </w:r>
          </w:p>
        </w:tc>
        <w:tc>
          <w:tcPr>
            <w:tcW w:w="7844" w:type="dxa"/>
          </w:tcPr>
          <w:p w14:paraId="3F625C66"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Druhy transakcií protistrany, na ktoré sa vzťahuje prístup SA-CVA</w:t>
            </w:r>
          </w:p>
          <w:p w14:paraId="3B7F80A8" w14:textId="2AE2FD31" w:rsidR="00680687" w:rsidRPr="00522E4F" w:rsidRDefault="00680687" w:rsidP="006A3ADC">
            <w:pPr>
              <w:rPr>
                <w:rFonts w:ascii="Times New Roman" w:hAnsi="Times New Roman"/>
                <w:sz w:val="24"/>
              </w:rPr>
            </w:pPr>
            <w:r w:rsidRPr="00522E4F">
              <w:rPr>
                <w:rFonts w:ascii="Times New Roman" w:hAnsi="Times New Roman"/>
                <w:sz w:val="24"/>
              </w:rPr>
              <w:t xml:space="preserve">Článok 445a ods. 1 písm. c) nariadenia (EÚ) </w:t>
            </w:r>
            <w:r w:rsidR="00522E4F">
              <w:rPr>
                <w:rFonts w:ascii="Times New Roman" w:hAnsi="Times New Roman"/>
                <w:sz w:val="24"/>
              </w:rPr>
              <w:t>č. </w:t>
            </w:r>
            <w:r w:rsidRPr="00522E4F">
              <w:rPr>
                <w:rFonts w:ascii="Times New Roman" w:hAnsi="Times New Roman"/>
                <w:sz w:val="24"/>
              </w:rPr>
              <w:t>575/2013</w:t>
            </w:r>
          </w:p>
          <w:p w14:paraId="25779170" w14:textId="1D00E8C6" w:rsidR="00680687" w:rsidRPr="00522E4F" w:rsidRDefault="00680687" w:rsidP="006A3ADC">
            <w:pPr>
              <w:spacing w:before="60"/>
              <w:rPr>
                <w:rFonts w:ascii="Times New Roman" w:hAnsi="Times New Roman"/>
                <w:sz w:val="24"/>
              </w:rPr>
            </w:pPr>
            <w:r w:rsidRPr="00522E4F">
              <w:rPr>
                <w:rFonts w:ascii="Times New Roman" w:hAnsi="Times New Roman"/>
                <w:sz w:val="24"/>
              </w:rPr>
              <w:t>Pre každú protistranu sa vyberie jeden sektor na základe týchto tried hospodárskych sektorov podľa FINREP (pozri tretiu časť prílohy</w:t>
            </w:r>
            <w:r w:rsidR="00522E4F">
              <w:rPr>
                <w:rFonts w:ascii="Times New Roman" w:hAnsi="Times New Roman"/>
                <w:sz w:val="24"/>
              </w:rPr>
              <w:t xml:space="preserve"> V k </w:t>
            </w:r>
            <w:r w:rsidRPr="00522E4F">
              <w:rPr>
                <w:rFonts w:ascii="Times New Roman" w:hAnsi="Times New Roman"/>
                <w:sz w:val="24"/>
              </w:rPr>
              <w:t>tomuto vykonávaciemu nariadeniu):</w:t>
            </w:r>
          </w:p>
          <w:p w14:paraId="77133872" w14:textId="087A88B7" w:rsidR="00680687" w:rsidRPr="00522E4F" w:rsidRDefault="00680687" w:rsidP="006A3ADC">
            <w:pPr>
              <w:spacing w:before="60"/>
              <w:rPr>
                <w:rFonts w:ascii="Times New Roman" w:hAnsi="Times New Roman"/>
                <w:sz w:val="24"/>
              </w:rPr>
            </w:pPr>
            <w:r w:rsidRPr="00522E4F">
              <w:rPr>
                <w:rFonts w:ascii="Times New Roman" w:hAnsi="Times New Roman"/>
                <w:sz w:val="24"/>
              </w:rPr>
              <w:t>Počet protistrán podľa sektora sa vykazuje</w:t>
            </w:r>
            <w:r w:rsidR="00522E4F">
              <w:rPr>
                <w:rFonts w:ascii="Times New Roman" w:hAnsi="Times New Roman"/>
                <w:sz w:val="24"/>
              </w:rPr>
              <w:t xml:space="preserve"> v </w:t>
            </w:r>
            <w:r w:rsidRPr="00522E4F">
              <w:rPr>
                <w:rFonts w:ascii="Times New Roman" w:hAnsi="Times New Roman"/>
                <w:sz w:val="24"/>
              </w:rPr>
              <w:t>stĺpci 0130.</w:t>
            </w:r>
          </w:p>
        </w:tc>
      </w:tr>
      <w:tr w:rsidR="00680687" w:rsidRPr="00522E4F" w14:paraId="5B81430B" w14:textId="77777777" w:rsidTr="006A3ADC">
        <w:tc>
          <w:tcPr>
            <w:tcW w:w="1172" w:type="dxa"/>
          </w:tcPr>
          <w:p w14:paraId="61B642B2" w14:textId="77777777" w:rsidR="00680687" w:rsidRPr="00522E4F" w:rsidRDefault="00680687" w:rsidP="006A3ADC">
            <w:pPr>
              <w:rPr>
                <w:rFonts w:ascii="Times New Roman" w:hAnsi="Times New Roman"/>
                <w:sz w:val="24"/>
              </w:rPr>
            </w:pPr>
            <w:r w:rsidRPr="00522E4F">
              <w:rPr>
                <w:rFonts w:ascii="Times New Roman" w:hAnsi="Times New Roman"/>
                <w:sz w:val="24"/>
              </w:rPr>
              <w:t>0170</w:t>
            </w:r>
          </w:p>
        </w:tc>
        <w:tc>
          <w:tcPr>
            <w:tcW w:w="7844" w:type="dxa"/>
          </w:tcPr>
          <w:p w14:paraId="28298287"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Centrálne banky</w:t>
            </w:r>
          </w:p>
        </w:tc>
      </w:tr>
      <w:tr w:rsidR="00680687" w:rsidRPr="00522E4F" w14:paraId="3880D5FA" w14:textId="77777777" w:rsidTr="006A3ADC">
        <w:tc>
          <w:tcPr>
            <w:tcW w:w="1172" w:type="dxa"/>
          </w:tcPr>
          <w:p w14:paraId="08F5DA36" w14:textId="77777777" w:rsidR="00680687" w:rsidRPr="00522E4F" w:rsidRDefault="00680687" w:rsidP="006A3ADC">
            <w:pPr>
              <w:rPr>
                <w:rFonts w:ascii="Times New Roman" w:hAnsi="Times New Roman"/>
                <w:sz w:val="24"/>
              </w:rPr>
            </w:pPr>
            <w:r w:rsidRPr="00522E4F">
              <w:rPr>
                <w:rFonts w:ascii="Times New Roman" w:hAnsi="Times New Roman"/>
                <w:sz w:val="24"/>
              </w:rPr>
              <w:t>0180</w:t>
            </w:r>
          </w:p>
        </w:tc>
        <w:tc>
          <w:tcPr>
            <w:tcW w:w="7844" w:type="dxa"/>
          </w:tcPr>
          <w:p w14:paraId="5AC0FB98"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Orgány verejnej správy</w:t>
            </w:r>
          </w:p>
        </w:tc>
      </w:tr>
      <w:tr w:rsidR="00680687" w:rsidRPr="00522E4F" w14:paraId="4826C3E9" w14:textId="77777777" w:rsidTr="006A3ADC">
        <w:tc>
          <w:tcPr>
            <w:tcW w:w="1172" w:type="dxa"/>
          </w:tcPr>
          <w:p w14:paraId="419DB6E8" w14:textId="77777777" w:rsidR="00680687" w:rsidRPr="00522E4F" w:rsidRDefault="00680687" w:rsidP="006A3ADC">
            <w:pPr>
              <w:rPr>
                <w:rFonts w:ascii="Times New Roman" w:hAnsi="Times New Roman"/>
                <w:sz w:val="24"/>
              </w:rPr>
            </w:pPr>
            <w:r w:rsidRPr="00522E4F">
              <w:rPr>
                <w:rFonts w:ascii="Times New Roman" w:hAnsi="Times New Roman"/>
                <w:sz w:val="24"/>
              </w:rPr>
              <w:t>0190</w:t>
            </w:r>
          </w:p>
        </w:tc>
        <w:tc>
          <w:tcPr>
            <w:tcW w:w="7844" w:type="dxa"/>
          </w:tcPr>
          <w:p w14:paraId="5A7EA903"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Úverové inštitúcie</w:t>
            </w:r>
          </w:p>
        </w:tc>
      </w:tr>
      <w:tr w:rsidR="00680687" w:rsidRPr="00522E4F" w14:paraId="60A5D5E9" w14:textId="77777777" w:rsidTr="006A3ADC">
        <w:tc>
          <w:tcPr>
            <w:tcW w:w="1172" w:type="dxa"/>
          </w:tcPr>
          <w:p w14:paraId="1236AA19" w14:textId="77777777" w:rsidR="00680687" w:rsidRPr="00522E4F" w:rsidRDefault="00680687" w:rsidP="006A3ADC">
            <w:pPr>
              <w:rPr>
                <w:rFonts w:ascii="Times New Roman" w:hAnsi="Times New Roman"/>
                <w:sz w:val="24"/>
              </w:rPr>
            </w:pPr>
            <w:r w:rsidRPr="00522E4F">
              <w:rPr>
                <w:rFonts w:ascii="Times New Roman" w:hAnsi="Times New Roman"/>
                <w:sz w:val="24"/>
              </w:rPr>
              <w:t>0200</w:t>
            </w:r>
          </w:p>
        </w:tc>
        <w:tc>
          <w:tcPr>
            <w:tcW w:w="7844" w:type="dxa"/>
          </w:tcPr>
          <w:p w14:paraId="56283C80"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Investičné spoločnosti</w:t>
            </w:r>
          </w:p>
        </w:tc>
      </w:tr>
      <w:tr w:rsidR="00680687" w:rsidRPr="00522E4F" w14:paraId="2445ED8F" w14:textId="77777777" w:rsidTr="006A3ADC">
        <w:tc>
          <w:tcPr>
            <w:tcW w:w="1172" w:type="dxa"/>
          </w:tcPr>
          <w:p w14:paraId="550C3C8F" w14:textId="77777777" w:rsidR="00680687" w:rsidRPr="00522E4F" w:rsidRDefault="00680687" w:rsidP="006A3ADC">
            <w:pPr>
              <w:rPr>
                <w:rFonts w:ascii="Times New Roman" w:hAnsi="Times New Roman"/>
                <w:sz w:val="24"/>
              </w:rPr>
            </w:pPr>
            <w:r w:rsidRPr="00522E4F">
              <w:rPr>
                <w:rFonts w:ascii="Times New Roman" w:hAnsi="Times New Roman"/>
                <w:sz w:val="24"/>
              </w:rPr>
              <w:t>0210</w:t>
            </w:r>
          </w:p>
        </w:tc>
        <w:tc>
          <w:tcPr>
            <w:tcW w:w="7844" w:type="dxa"/>
          </w:tcPr>
          <w:p w14:paraId="517C2FE3"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Ostatné finančné korporácie (s výnimkou investičných spoločností)</w:t>
            </w:r>
          </w:p>
        </w:tc>
      </w:tr>
      <w:tr w:rsidR="00680687" w:rsidRPr="00522E4F" w14:paraId="167237FD" w14:textId="77777777" w:rsidTr="006A3ADC">
        <w:tc>
          <w:tcPr>
            <w:tcW w:w="1172" w:type="dxa"/>
          </w:tcPr>
          <w:p w14:paraId="29B7557A" w14:textId="77777777" w:rsidR="00680687" w:rsidRPr="00522E4F" w:rsidRDefault="00680687" w:rsidP="006A3ADC">
            <w:pPr>
              <w:rPr>
                <w:rFonts w:ascii="Times New Roman" w:hAnsi="Times New Roman"/>
                <w:sz w:val="24"/>
              </w:rPr>
            </w:pPr>
            <w:r w:rsidRPr="00522E4F">
              <w:rPr>
                <w:rFonts w:ascii="Times New Roman" w:hAnsi="Times New Roman"/>
                <w:sz w:val="24"/>
              </w:rPr>
              <w:lastRenderedPageBreak/>
              <w:t>0220</w:t>
            </w:r>
          </w:p>
        </w:tc>
        <w:tc>
          <w:tcPr>
            <w:tcW w:w="7844" w:type="dxa"/>
          </w:tcPr>
          <w:p w14:paraId="7956EA94"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Nefinančné korporácie</w:t>
            </w:r>
          </w:p>
        </w:tc>
      </w:tr>
      <w:tr w:rsidR="00680687" w:rsidRPr="00522E4F" w14:paraId="6BACE521" w14:textId="77777777" w:rsidTr="006A3ADC">
        <w:tc>
          <w:tcPr>
            <w:tcW w:w="1172" w:type="dxa"/>
          </w:tcPr>
          <w:p w14:paraId="36DAA114" w14:textId="77777777" w:rsidR="00680687" w:rsidRPr="00522E4F" w:rsidRDefault="00680687" w:rsidP="006A3ADC">
            <w:pPr>
              <w:rPr>
                <w:rFonts w:ascii="Times New Roman" w:hAnsi="Times New Roman"/>
                <w:sz w:val="24"/>
              </w:rPr>
            </w:pPr>
            <w:r w:rsidRPr="00522E4F">
              <w:rPr>
                <w:rFonts w:ascii="Times New Roman" w:hAnsi="Times New Roman"/>
                <w:sz w:val="24"/>
              </w:rPr>
              <w:t>0230</w:t>
            </w:r>
          </w:p>
        </w:tc>
        <w:tc>
          <w:tcPr>
            <w:tcW w:w="7844" w:type="dxa"/>
          </w:tcPr>
          <w:p w14:paraId="7C6250A2"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Agregácia systematických zložiek rizika úpravy ocenenia pohľadávok</w:t>
            </w:r>
          </w:p>
          <w:p w14:paraId="62BC44EB" w14:textId="7313AAA5" w:rsidR="00680687" w:rsidRPr="00522E4F" w:rsidRDefault="00680687" w:rsidP="006A3ADC">
            <w:pPr>
              <w:rPr>
                <w:rFonts w:ascii="Times New Roman" w:hAnsi="Times New Roman"/>
                <w:sz w:val="24"/>
              </w:rPr>
            </w:pPr>
            <w:r w:rsidRPr="00522E4F">
              <w:rPr>
                <w:rFonts w:ascii="Times New Roman" w:hAnsi="Times New Roman"/>
                <w:sz w:val="24"/>
              </w:rPr>
              <w:t xml:space="preserve">Článok 384 ods. 3 nariadenia (EÚ) </w:t>
            </w:r>
            <w:r w:rsidR="00522E4F">
              <w:rPr>
                <w:rFonts w:ascii="Times New Roman" w:hAnsi="Times New Roman"/>
                <w:sz w:val="24"/>
              </w:rPr>
              <w:t>č. </w:t>
            </w:r>
            <w:r w:rsidRPr="00522E4F">
              <w:rPr>
                <w:rFonts w:ascii="Times New Roman" w:hAnsi="Times New Roman"/>
                <w:sz w:val="24"/>
              </w:rPr>
              <w:t>575/2013 Požiadavky na vlastné zdroje na základe predpokladu dokonalej korelácie (</w:t>
            </w:r>
            <w:r w:rsidRPr="00522E4F">
              <w:rPr>
                <w:rFonts w:ascii="Times New Roman" w:hAnsi="Times New Roman"/>
                <w:sz w:val="24"/>
              </w:rPr>
              <w:sym w:font="Symbol" w:char="F053"/>
            </w:r>
            <w:proofErr w:type="spellStart"/>
            <w:r w:rsidRPr="00522E4F">
              <w:rPr>
                <w:rFonts w:ascii="Times New Roman" w:hAnsi="Times New Roman"/>
                <w:sz w:val="24"/>
                <w:vertAlign w:val="subscript"/>
              </w:rPr>
              <w:t>c</w:t>
            </w:r>
            <w:r w:rsidRPr="00522E4F">
              <w:rPr>
                <w:rFonts w:ascii="Times New Roman" w:hAnsi="Times New Roman"/>
                <w:sz w:val="24"/>
              </w:rPr>
              <w:t>SCVA</w:t>
            </w:r>
            <w:r w:rsidRPr="00522E4F">
              <w:rPr>
                <w:rFonts w:ascii="Times New Roman" w:hAnsi="Times New Roman"/>
                <w:sz w:val="24"/>
                <w:vertAlign w:val="subscript"/>
              </w:rPr>
              <w:t>c</w:t>
            </w:r>
            <w:proofErr w:type="spellEnd"/>
            <w:r w:rsidRPr="00522E4F">
              <w:rPr>
                <w:rFonts w:ascii="Times New Roman" w:hAnsi="Times New Roman"/>
                <w:sz w:val="24"/>
                <w:vertAlign w:val="subscript"/>
              </w:rPr>
              <w:t xml:space="preserve">).  </w:t>
            </w:r>
            <w:r w:rsidRPr="00522E4F">
              <w:rPr>
                <w:rFonts w:ascii="Times New Roman" w:hAnsi="Times New Roman"/>
                <w:sz w:val="24"/>
              </w:rPr>
              <w:t>Diskontný koeficient</w:t>
            </w:r>
            <w:r w:rsidRPr="00522E4F">
              <w:rPr>
                <w:rFonts w:ascii="Times New Roman" w:hAnsi="Times New Roman"/>
                <w:sz w:val="24"/>
                <w:vertAlign w:val="subscript"/>
              </w:rPr>
              <w:t xml:space="preserve"> </w:t>
            </w:r>
            <w:r w:rsidRPr="00522E4F">
              <w:rPr>
                <w:rFonts w:ascii="Times New Roman" w:hAnsi="Times New Roman"/>
                <w:sz w:val="24"/>
              </w:rPr>
              <w:t>0,65 sa neuplatňuje.</w:t>
            </w:r>
          </w:p>
        </w:tc>
      </w:tr>
      <w:tr w:rsidR="00680687" w:rsidRPr="00522E4F" w14:paraId="65206CF9" w14:textId="77777777" w:rsidTr="006A3ADC">
        <w:tc>
          <w:tcPr>
            <w:tcW w:w="1172" w:type="dxa"/>
          </w:tcPr>
          <w:p w14:paraId="62DF0332" w14:textId="77777777" w:rsidR="00680687" w:rsidRPr="00522E4F" w:rsidRDefault="00680687" w:rsidP="006A3ADC">
            <w:pPr>
              <w:rPr>
                <w:rFonts w:ascii="Times New Roman" w:hAnsi="Times New Roman"/>
                <w:sz w:val="24"/>
              </w:rPr>
            </w:pPr>
            <w:r w:rsidRPr="00522E4F">
              <w:rPr>
                <w:rFonts w:ascii="Times New Roman" w:hAnsi="Times New Roman"/>
                <w:sz w:val="24"/>
              </w:rPr>
              <w:t>0240</w:t>
            </w:r>
          </w:p>
        </w:tc>
        <w:tc>
          <w:tcPr>
            <w:tcW w:w="7844" w:type="dxa"/>
          </w:tcPr>
          <w:p w14:paraId="208A77B2" w14:textId="77777777" w:rsidR="00680687" w:rsidRPr="00522E4F" w:rsidRDefault="00680687" w:rsidP="006A3ADC">
            <w:pPr>
              <w:rPr>
                <w:rFonts w:ascii="Times New Roman" w:hAnsi="Times New Roman"/>
                <w:b/>
                <w:bCs/>
                <w:sz w:val="24"/>
                <w:u w:val="single"/>
              </w:rPr>
            </w:pPr>
            <w:r w:rsidRPr="00522E4F">
              <w:rPr>
                <w:rFonts w:ascii="Times New Roman" w:hAnsi="Times New Roman"/>
                <w:b/>
                <w:sz w:val="24"/>
                <w:u w:val="single"/>
              </w:rPr>
              <w:t xml:space="preserve">Agregácia </w:t>
            </w:r>
            <w:proofErr w:type="spellStart"/>
            <w:r w:rsidRPr="00522E4F">
              <w:rPr>
                <w:rFonts w:ascii="Times New Roman" w:hAnsi="Times New Roman"/>
                <w:b/>
                <w:sz w:val="24"/>
                <w:u w:val="single"/>
              </w:rPr>
              <w:t>idiosynkratických</w:t>
            </w:r>
            <w:proofErr w:type="spellEnd"/>
            <w:r w:rsidRPr="00522E4F">
              <w:rPr>
                <w:rFonts w:ascii="Times New Roman" w:hAnsi="Times New Roman"/>
                <w:b/>
                <w:sz w:val="24"/>
                <w:u w:val="single"/>
              </w:rPr>
              <w:t xml:space="preserve"> zložiek rizika úpravy ocenenia pohľadávok</w:t>
            </w:r>
          </w:p>
          <w:p w14:paraId="7B1EBC08" w14:textId="46EAE277" w:rsidR="00680687" w:rsidRPr="00522E4F" w:rsidRDefault="00680687" w:rsidP="006A3ADC">
            <w:pPr>
              <w:rPr>
                <w:rFonts w:ascii="Times New Roman" w:hAnsi="Times New Roman"/>
                <w:sz w:val="24"/>
              </w:rPr>
            </w:pPr>
            <w:r w:rsidRPr="00522E4F">
              <w:rPr>
                <w:rFonts w:ascii="Times New Roman" w:hAnsi="Times New Roman"/>
                <w:sz w:val="24"/>
              </w:rPr>
              <w:t xml:space="preserve">Článok 384 ods. 3 nariadenia (EÚ) </w:t>
            </w:r>
            <w:r w:rsidR="00522E4F">
              <w:rPr>
                <w:rFonts w:ascii="Times New Roman" w:hAnsi="Times New Roman"/>
                <w:sz w:val="24"/>
              </w:rPr>
              <w:t>č. </w:t>
            </w:r>
            <w:r w:rsidRPr="00522E4F">
              <w:rPr>
                <w:rFonts w:ascii="Times New Roman" w:hAnsi="Times New Roman"/>
                <w:sz w:val="24"/>
              </w:rPr>
              <w:t>575/2013 Požiadavky na vlastné zdroje na základe predpokladu nulovej korelácie [</w:t>
            </w:r>
            <w:proofErr w:type="spellStart"/>
            <w:r w:rsidRPr="00522E4F">
              <w:rPr>
                <w:rFonts w:ascii="Times New Roman" w:hAnsi="Times New Roman"/>
                <w:sz w:val="24"/>
              </w:rPr>
              <w:t>sqrt</w:t>
            </w:r>
            <w:proofErr w:type="spellEnd"/>
            <w:r w:rsidRPr="00522E4F">
              <w:rPr>
                <w:rFonts w:ascii="Times New Roman" w:hAnsi="Times New Roman"/>
                <w:sz w:val="24"/>
              </w:rPr>
              <w:t>(</w:t>
            </w:r>
            <w:r w:rsidRPr="00522E4F">
              <w:rPr>
                <w:rFonts w:ascii="Times New Roman" w:hAnsi="Times New Roman"/>
                <w:sz w:val="24"/>
              </w:rPr>
              <w:sym w:font="Symbol" w:char="F053"/>
            </w:r>
            <w:r w:rsidRPr="00522E4F">
              <w:rPr>
                <w:rFonts w:ascii="Times New Roman" w:hAnsi="Times New Roman"/>
                <w:sz w:val="24"/>
                <w:vertAlign w:val="subscript"/>
              </w:rPr>
              <w:t>c</w:t>
            </w:r>
            <w:r w:rsidRPr="00522E4F">
              <w:rPr>
                <w:rFonts w:ascii="Times New Roman" w:hAnsi="Times New Roman"/>
                <w:sz w:val="24"/>
              </w:rPr>
              <w:t>SCVA</w:t>
            </w:r>
            <w:r w:rsidRPr="00522E4F">
              <w:rPr>
                <w:rFonts w:ascii="Times New Roman" w:hAnsi="Times New Roman"/>
                <w:sz w:val="24"/>
                <w:vertAlign w:val="subscript"/>
              </w:rPr>
              <w:t>c</w:t>
            </w:r>
            <w:r w:rsidRPr="00522E4F">
              <w:rPr>
                <w:rFonts w:ascii="Times New Roman" w:hAnsi="Times New Roman"/>
                <w:sz w:val="24"/>
                <w:vertAlign w:val="superscript"/>
              </w:rPr>
              <w:t>2</w:t>
            </w:r>
            <w:r w:rsidRPr="00522E4F">
              <w:rPr>
                <w:rFonts w:ascii="Times New Roman" w:hAnsi="Times New Roman"/>
                <w:sz w:val="24"/>
              </w:rPr>
              <w:t>)]. Diskontný koeficient</w:t>
            </w:r>
            <w:r w:rsidRPr="00522E4F">
              <w:rPr>
                <w:rFonts w:ascii="Times New Roman" w:hAnsi="Times New Roman"/>
                <w:sz w:val="24"/>
                <w:vertAlign w:val="subscript"/>
              </w:rPr>
              <w:t xml:space="preserve"> </w:t>
            </w:r>
            <w:r w:rsidRPr="00522E4F">
              <w:rPr>
                <w:rFonts w:ascii="Times New Roman" w:hAnsi="Times New Roman"/>
                <w:sz w:val="24"/>
              </w:rPr>
              <w:t>0,65 sa neuplatňuje.</w:t>
            </w:r>
          </w:p>
        </w:tc>
      </w:tr>
    </w:tbl>
    <w:p w14:paraId="28018638" w14:textId="77777777" w:rsidR="00680687" w:rsidRPr="00522E4F" w:rsidRDefault="00680687" w:rsidP="00680687"/>
    <w:p w14:paraId="5D86CC30" w14:textId="77777777" w:rsidR="00680687" w:rsidRPr="00522E4F" w:rsidRDefault="00680687" w:rsidP="00680687"/>
    <w:p w14:paraId="4A82DB4D" w14:textId="77777777" w:rsidR="00606FB5" w:rsidRPr="00522E4F" w:rsidRDefault="00606FB5" w:rsidP="00606FB5">
      <w:pPr>
        <w:pStyle w:val="Instructionsberschrift2"/>
        <w:numPr>
          <w:ilvl w:val="0"/>
          <w:numId w:val="0"/>
        </w:numPr>
        <w:ind w:left="357" w:hanging="357"/>
        <w:rPr>
          <w:rFonts w:ascii="Times New Roman" w:hAnsi="Times New Roman" w:cs="Times New Roman"/>
          <w:sz w:val="24"/>
        </w:rPr>
      </w:pPr>
    </w:p>
    <w:p w14:paraId="4C3A5630" w14:textId="77777777" w:rsidR="00606FB5" w:rsidRPr="00522E4F" w:rsidRDefault="00606FB5" w:rsidP="00606FB5">
      <w:pPr>
        <w:pStyle w:val="Instructionsberschrift2"/>
        <w:numPr>
          <w:ilvl w:val="0"/>
          <w:numId w:val="0"/>
        </w:numPr>
        <w:ind w:left="357" w:hanging="357"/>
        <w:rPr>
          <w:rFonts w:ascii="Times New Roman" w:hAnsi="Times New Roman" w:cs="Times New Roman"/>
          <w:sz w:val="24"/>
        </w:rPr>
      </w:pPr>
    </w:p>
    <w:bookmarkEnd w:id="6"/>
    <w:p w14:paraId="1A587C69" w14:textId="77777777" w:rsidR="00606FB5" w:rsidRPr="00522E4F" w:rsidRDefault="00606FB5" w:rsidP="00606FB5"/>
    <w:sectPr w:rsidR="00606FB5" w:rsidRPr="00522E4F">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060F3" w14:textId="77777777" w:rsidR="008A48F1" w:rsidRDefault="008A48F1" w:rsidP="007341EC">
      <w:pPr>
        <w:spacing w:before="0" w:after="0"/>
      </w:pPr>
      <w:r>
        <w:separator/>
      </w:r>
    </w:p>
  </w:endnote>
  <w:endnote w:type="continuationSeparator" w:id="0">
    <w:p w14:paraId="2CA87D75" w14:textId="77777777" w:rsidR="008A48F1" w:rsidRDefault="008A48F1"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F4C50" w14:textId="77777777" w:rsidR="008A48F1" w:rsidRDefault="008A48F1" w:rsidP="007341EC">
      <w:pPr>
        <w:spacing w:before="0" w:after="0"/>
      </w:pPr>
      <w:r>
        <w:separator/>
      </w:r>
    </w:p>
  </w:footnote>
  <w:footnote w:type="continuationSeparator" w:id="0">
    <w:p w14:paraId="16A0CBF9" w14:textId="77777777" w:rsidR="008A48F1" w:rsidRDefault="008A48F1"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6084821D" w:rsidR="007341EC" w:rsidRPr="007341EC" w:rsidRDefault="00B07027" w:rsidP="007341EC">
                          <w:pPr>
                            <w:spacing w:after="0"/>
                            <w:rPr>
                              <w:rFonts w:ascii="Calibri" w:eastAsia="Calibri" w:hAnsi="Calibri" w:cs="Calibri"/>
                              <w:noProof/>
                              <w:color w:val="000000"/>
                              <w:sz w:val="24"/>
                            </w:rPr>
                          </w:pPr>
                          <w:r w:rsidRPr="00B07027">
                            <w:rPr>
                              <w:rFonts w:ascii="Calibri" w:hAnsi="Calibri"/>
                              <w:color w:val="000000"/>
                              <w:sz w:val="24"/>
                            </w:rPr>
                            <w:t> </w:t>
                          </w:r>
                          <w:r w:rsidRPr="00B07027">
                            <w:rPr>
                              <w:rFonts w:ascii="Calibri" w:hAnsi="Calibri"/>
                              <w:color w:val="000000"/>
                              <w:sz w:val="24"/>
                            </w:rPr>
                            <w:t xml:space="preserve">EBA </w:t>
                          </w:r>
                          <w:r w:rsidR="00584DF1">
                            <w:rPr>
                              <w:rFonts w:ascii="Calibri" w:hAnsi="Calibri"/>
                              <w:color w:val="000000"/>
                              <w:sz w:val="24"/>
                            </w:rPr>
                            <w:t>– b</w:t>
                          </w:r>
                          <w:r w:rsidRPr="00B07027">
                            <w:rPr>
                              <w:rFonts w:ascii="Calibri" w:hAnsi="Calibri"/>
                              <w:color w:val="000000"/>
                              <w:sz w:val="24"/>
                            </w:rPr>
                            <w:t>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6084821D" w:rsidR="007341EC" w:rsidRPr="007341EC" w:rsidRDefault="00B07027" w:rsidP="007341EC">
                    <w:pPr>
                      <w:spacing w:after="0"/>
                      <w:rPr>
                        <w:rFonts w:ascii="Calibri" w:eastAsia="Calibri" w:hAnsi="Calibri" w:cs="Calibri"/>
                        <w:noProof/>
                        <w:color w:val="000000"/>
                        <w:sz w:val="24"/>
                      </w:rPr>
                    </w:pPr>
                    <w:r w:rsidRPr="00B07027">
                      <w:rPr>
                        <w:rFonts w:ascii="Calibri" w:hAnsi="Calibri"/>
                        <w:color w:val="000000"/>
                        <w:sz w:val="24"/>
                      </w:rPr>
                      <w:t> </w:t>
                    </w:r>
                    <w:r w:rsidRPr="00B07027">
                      <w:rPr>
                        <w:rFonts w:ascii="Calibri" w:hAnsi="Calibri"/>
                        <w:color w:val="000000"/>
                        <w:sz w:val="24"/>
                      </w:rPr>
                      <w:t xml:space="preserve">EBA </w:t>
                    </w:r>
                    <w:r w:rsidR="00584DF1">
                      <w:rPr>
                        <w:rFonts w:ascii="Calibri" w:hAnsi="Calibri"/>
                        <w:color w:val="000000"/>
                        <w:sz w:val="24"/>
                      </w:rPr>
                      <w:t>– b</w:t>
                    </w:r>
                    <w:r w:rsidRPr="00B07027">
                      <w:rPr>
                        <w:rFonts w:ascii="Calibri" w:hAnsi="Calibri"/>
                        <w:color w:val="000000"/>
                        <w:sz w:val="24"/>
                      </w:rPr>
                      <w:t>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0F6BA3"/>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29CC"/>
    <w:rsid w:val="00375D7F"/>
    <w:rsid w:val="0039256B"/>
    <w:rsid w:val="00401970"/>
    <w:rsid w:val="00403352"/>
    <w:rsid w:val="0043596C"/>
    <w:rsid w:val="00473D32"/>
    <w:rsid w:val="004A2E7A"/>
    <w:rsid w:val="004A37E9"/>
    <w:rsid w:val="004B3EB4"/>
    <w:rsid w:val="004F79C2"/>
    <w:rsid w:val="00510AE9"/>
    <w:rsid w:val="00522E4F"/>
    <w:rsid w:val="00532B0C"/>
    <w:rsid w:val="005542E7"/>
    <w:rsid w:val="00584DF1"/>
    <w:rsid w:val="00594522"/>
    <w:rsid w:val="005B137C"/>
    <w:rsid w:val="005F6CF0"/>
    <w:rsid w:val="00606FB5"/>
    <w:rsid w:val="0061351B"/>
    <w:rsid w:val="00631623"/>
    <w:rsid w:val="00641472"/>
    <w:rsid w:val="00647BB7"/>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A48F1"/>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07027"/>
    <w:rsid w:val="00B411CC"/>
    <w:rsid w:val="00B71F25"/>
    <w:rsid w:val="00BC79BB"/>
    <w:rsid w:val="00BF0CDE"/>
    <w:rsid w:val="00C63973"/>
    <w:rsid w:val="00C73E12"/>
    <w:rsid w:val="00C95377"/>
    <w:rsid w:val="00CB2E9C"/>
    <w:rsid w:val="00CC08BC"/>
    <w:rsid w:val="00CC1BE6"/>
    <w:rsid w:val="00CF011F"/>
    <w:rsid w:val="00CF1050"/>
    <w:rsid w:val="00D15003"/>
    <w:rsid w:val="00D641EF"/>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2.xml><?xml version="1.0" encoding="utf-8"?>
<ds:datastoreItem xmlns:ds="http://schemas.openxmlformats.org/officeDocument/2006/customXml" ds:itemID="{BC2A53B4-1F1C-4101-B51E-10920D6BCD0E}"/>
</file>

<file path=customXml/itemProps3.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1903</Words>
  <Characters>10985</Characters>
  <Application>Microsoft Office Word</Application>
  <DocSecurity>0</DocSecurity>
  <Lines>296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2025-01-24T10:20:18Z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a411759c-2e55-456c-ad29-35b532502fef</vt:lpwstr>
  </property>
  <property fmtid="{D5CDD505-2E9C-101B-9397-08002B2CF9AE}" pid="9" name="MSIP_Label_6bd9ddd1-4d20-43f6-abfa-fc3c07406f94_ContentBits">
    <vt:lpwstr>0</vt:lpwstr>
  </property>
</Properties>
</file>